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4066540</wp:posOffset>
                </wp:positionH>
                <wp:positionV relativeFrom="paragraph">
                  <wp:posOffset>-1044257</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PMT-RJ                                        PROCESSO N º 7.050/2022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0.2pt;mso-position-horizontal:absolute;mso-position-vertical-relative:text;margin-top:-82.2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PMT-RJ                                        PROCESSO N º 7.050/2022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059/2022</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rPr>
                        <w:t xml:space="preserve">059/2022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-549275</wp:posOffset>
                </wp:positionH>
                <wp:positionV relativeFrom="paragraph">
                  <wp:posOffset>112395</wp:posOffset>
                </wp:positionV>
                <wp:extent cx="6663690" cy="1975179"/>
                <wp:effectExtent l="6350" t="6350" r="6350" b="6350"/>
                <wp:wrapNone/>
                <wp:docPr id="6" name="Caixa de texto 2" hidden="0"/>
                <wp:cNvGraphicFramePr/>
                <a:graphic xmlns:a="http://schemas.openxmlformats.org/drawingml/2006/main">
                  <a:graphicData uri="http://schemas.microsoft.com/office/word/2010/wordprocessingShape">
                    <wps:wsp>
                      <wps:cNvPr id="0" name=""/>
                      <wps:cNvSpPr txBox="1"/>
                      <wps:spPr bwMode="auto">
                        <a:xfrm flipH="0" flipV="0">
                          <a:off x="0" y="0"/>
                          <a:ext cx="6663690" cy="1975179"/>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PARA </w:t>
                            </w:r>
                            <w:r>
                              <w:rPr>
                                <w:rFonts w:ascii="Arial" w:hAnsi="Arial" w:eastAsia="Cambria"/>
                                <w:sz w:val="40"/>
                                <w:szCs w:val="40"/>
                              </w:rPr>
                              <w:t xml:space="preserve">CONTRATAÇÃO DE SERVIÇO DE ARBITRAGEM PARA JOGOS ESTUDANTIS DA SECRETARIA MUNICIPAL DE EDUCAÇÃO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08/</w:t>
                            </w:r>
                            <w:r>
                              <w:rPr>
                                <w:rFonts w:ascii="Arial" w:hAnsi="Arial"/>
                                <w:sz w:val="40"/>
                              </w:rPr>
                              <w:t xml:space="preserve">07/2022 às </w:t>
                            </w:r>
                            <w:r>
                              <w:rPr>
                                <w:rFonts w:ascii="Arial" w:hAnsi="Arial"/>
                                <w:sz w:val="40"/>
                              </w:rPr>
                              <w:t xml:space="preserve">10h00</w:t>
                            </w:r>
                            <w:r/>
                          </w:p>
                          <w:p>
                            <w:r/>
                            <w:r/>
                          </w:p>
                          <w:p>
                            <w:r/>
                            <w:r/>
                          </w:p>
                        </w:txbxContent>
                      </wps:txbx>
                      <wps:bodyPr wrap="square" upright="1"/>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3.2pt;mso-position-horizontal:absolute;mso-position-vertical-relative:text;margin-top:8.8pt;mso-position-vertical:absolute;width:524.7pt;height:155.5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PARA </w:t>
                      </w:r>
                      <w:r>
                        <w:rPr>
                          <w:rFonts w:ascii="Arial" w:hAnsi="Arial" w:eastAsia="Cambria"/>
                          <w:sz w:val="40"/>
                          <w:szCs w:val="40"/>
                        </w:rPr>
                        <w:t xml:space="preserve">CONTRATAÇÃO DE SERVIÇO DE ARBITRAGEM PARA JOGOS ESTUDANTIS DA SECRETARIA MUNICIPAL DE EDUCAÇÃO</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08/</w:t>
                      </w:r>
                      <w:r>
                        <w:rPr>
                          <w:rFonts w:ascii="Arial" w:hAnsi="Arial"/>
                          <w:sz w:val="40"/>
                        </w:rPr>
                        <w:t xml:space="preserve">07/2022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087"/>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087"/>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059/2022</w:t>
      </w:r>
      <w:r/>
    </w:p>
    <w:p>
      <w:pPr>
        <w:pStyle w:val="1087"/>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7.050</w:t>
      </w:r>
      <w:r>
        <w:rPr>
          <w:rFonts w:ascii="Arial" w:hAnsi="Arial" w:eastAsia="Arial"/>
          <w:b/>
          <w:sz w:val="24"/>
          <w:szCs w:val="24"/>
        </w:rPr>
        <w:t xml:space="preserve">/202</w:t>
      </w:r>
      <w:r>
        <w:rPr>
          <w:rFonts w:ascii="Arial" w:hAnsi="Arial" w:eastAsia="Arial"/>
          <w:b/>
          <w:sz w:val="24"/>
          <w:szCs w:val="24"/>
        </w:rPr>
        <w:t xml:space="preserve">2</w:t>
      </w:r>
      <w:r/>
    </w:p>
    <w:p>
      <w:pPr>
        <w:pStyle w:val="1087"/>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087"/>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08/</w:t>
      </w:r>
      <w:r>
        <w:rPr>
          <w:rFonts w:ascii="Arial" w:hAnsi="Arial" w:eastAsia="Arial"/>
          <w:b/>
          <w:sz w:val="24"/>
          <w:szCs w:val="24"/>
        </w:rPr>
        <w:t xml:space="preserve">07/2022</w:t>
      </w:r>
      <w:r/>
    </w:p>
    <w:p>
      <w:pPr>
        <w:pStyle w:val="1087"/>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087"/>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086"/>
            <w:rFonts w:ascii="Arial" w:hAnsi="Arial"/>
            <w:color w:val="000000"/>
            <w:sz w:val="24"/>
            <w:szCs w:val="24"/>
          </w:rPr>
          <w:t xml:space="preserve">https://www.gov.br/compras/pt-br/</w:t>
        </w:r>
      </w:hyperlink>
      <w:r/>
      <w:r/>
    </w:p>
    <w:p>
      <w:pPr>
        <w:pStyle w:val="1087"/>
        <w:ind w:right="49"/>
        <w:jc w:val="both"/>
        <w:spacing w:before="57" w:after="57" w:line="360" w:lineRule="auto"/>
        <w:rPr>
          <w:rFonts w:ascii="Arial" w:hAnsi="Arial"/>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p>
    <w:p>
      <w:pPr>
        <w:pStyle w:val="1087"/>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Arial"/>
          <w:sz w:val="24"/>
          <w:szCs w:val="24"/>
        </w:rPr>
      </w:pPr>
      <w:r>
        <w:rPr>
          <w:rFonts w:ascii="Arial" w:hAnsi="Arial" w:eastAsia="Arial"/>
          <w:sz w:val="24"/>
          <w:szCs w:val="24"/>
        </w:rPr>
        <w:t xml:space="preserve">O MUNICÍPIO DE TERESÓPOLIS, através de seu Pregoeiro, nomeado pela da </w:t>
      </w:r>
      <w:r>
        <w:rPr>
          <w:rFonts w:ascii="Arial" w:hAnsi="Arial" w:eastAsia="Arial"/>
          <w:sz w:val="24"/>
          <w:szCs w:val="24"/>
        </w:rPr>
        <w:t xml:space="preserve">Portaria G.P. nº </w:t>
      </w:r>
      <w:r>
        <w:rPr>
          <w:rFonts w:ascii="Arial" w:hAnsi="Arial" w:eastAsia="Arial"/>
          <w:sz w:val="24"/>
          <w:szCs w:val="24"/>
        </w:rPr>
        <w:t xml:space="preserve">75</w:t>
      </w:r>
      <w:r>
        <w:rPr>
          <w:rFonts w:ascii="Arial" w:hAnsi="Arial" w:eastAsia="Arial"/>
          <w:sz w:val="24"/>
          <w:szCs w:val="24"/>
        </w:rPr>
        <w:t xml:space="preserve">, de 21 de janeiro de 202</w:t>
      </w:r>
      <w:r>
        <w:rPr>
          <w:rFonts w:ascii="Arial" w:hAnsi="Arial" w:eastAsia="Arial"/>
          <w:sz w:val="24"/>
          <w:szCs w:val="24"/>
        </w:rPr>
        <w:t xml:space="preserve">2</w:t>
      </w:r>
      <w:r>
        <w:rPr>
          <w:rFonts w:ascii="Arial" w:hAnsi="Arial" w:eastAsia="Arial"/>
          <w:sz w:val="24"/>
          <w:szCs w:val="24"/>
        </w:rPr>
        <w:t xml:space="preserve"> e suas alterações, de conformidade com o processo administrativo nº </w:t>
      </w:r>
      <w:r>
        <w:rPr>
          <w:rFonts w:ascii="Arial" w:hAnsi="Arial" w:eastAsia="Arial"/>
          <w:sz w:val="24"/>
          <w:szCs w:val="24"/>
        </w:rPr>
        <w:t xml:space="preserve">7</w:t>
      </w:r>
      <w:r>
        <w:rPr>
          <w:rFonts w:ascii="Arial" w:hAnsi="Arial" w:eastAsia="Arial"/>
          <w:sz w:val="24"/>
          <w:szCs w:val="24"/>
        </w:rPr>
        <w:t xml:space="preserve">.</w:t>
      </w:r>
      <w:r>
        <w:rPr>
          <w:rFonts w:ascii="Arial" w:hAnsi="Arial" w:eastAsia="Arial"/>
          <w:sz w:val="24"/>
          <w:szCs w:val="24"/>
        </w:rPr>
        <w:t xml:space="preserve">050/2022</w:t>
      </w:r>
      <w:r>
        <w:rPr>
          <w:rFonts w:ascii="Arial" w:hAnsi="Arial" w:eastAsia="Arial"/>
          <w:sz w:val="24"/>
          <w:szCs w:val="24"/>
        </w:rPr>
        <w:t xml:space="preserve">, comunica aos interessados que irá realizar </w:t>
      </w:r>
      <w:r>
        <w:rPr>
          <w:rFonts w:ascii="Arial" w:hAnsi="Arial" w:eastAsia="Arial"/>
          <w:b/>
          <w:sz w:val="24"/>
          <w:szCs w:val="24"/>
        </w:rPr>
        <w:t xml:space="preserve">PREGÃO ELETRÔNICO DO TIPO </w:t>
      </w:r>
      <w:r>
        <w:rPr>
          <w:rFonts w:ascii="Arial" w:hAnsi="Arial" w:eastAsia="Arial"/>
          <w:b/>
          <w:sz w:val="24"/>
          <w:szCs w:val="24"/>
        </w:rPr>
        <w:t xml:space="preserve">MENOR PREÇO GLOBAL</w:t>
      </w:r>
      <w:r>
        <w:rPr>
          <w:rFonts w:ascii="Arial" w:hAnsi="Arial" w:eastAsia="Arial"/>
          <w:b/>
          <w:sz w:val="24"/>
          <w:szCs w:val="24"/>
        </w:rPr>
        <w:t xml:space="preserve"> PARA</w:t>
      </w:r>
      <w:r>
        <w:rPr>
          <w:rFonts w:ascii="Arial" w:hAnsi="Arial" w:eastAsia="Arial"/>
          <w:b/>
          <w:sz w:val="24"/>
          <w:szCs w:val="24"/>
        </w:rPr>
        <w:t xml:space="preserve"> </w:t>
      </w:r>
      <w:r>
        <w:rPr>
          <w:rFonts w:ascii="Arial" w:hAnsi="Arial" w:eastAsia="Arial"/>
          <w:b/>
          <w:sz w:val="24"/>
          <w:szCs w:val="24"/>
        </w:rPr>
        <w:t xml:space="preserve">REGISTRO DE PREÇOS DE </w:t>
      </w:r>
      <w:r>
        <w:rPr>
          <w:rFonts w:ascii="Arial" w:hAnsi="Arial" w:eastAsia="Arial"/>
          <w:b/>
          <w:sz w:val="24"/>
          <w:szCs w:val="24"/>
        </w:rPr>
        <w:t xml:space="preserve">CONTRATAÇÃO DE EMPRESA ESPECIALIZADA </w:t>
      </w:r>
      <w:r>
        <w:rPr>
          <w:rFonts w:ascii="Arial" w:hAnsi="Arial" w:eastAsia="Arial"/>
          <w:b/>
          <w:sz w:val="24"/>
          <w:szCs w:val="24"/>
        </w:rPr>
        <w:t xml:space="preserve">EM</w:t>
      </w:r>
      <w:r>
        <w:rPr>
          <w:rFonts w:ascii="Arial" w:hAnsi="Arial" w:eastAsia="Arial"/>
          <w:b/>
          <w:sz w:val="24"/>
          <w:szCs w:val="24"/>
        </w:rPr>
        <w:t xml:space="preserve"> SERVIÇOS DE ARBITRAGEM PARA REALIZAÇÃO DE JOGOS</w:t>
      </w:r>
      <w:r>
        <w:rPr>
          <w:rFonts w:ascii="Arial" w:hAnsi="Arial" w:eastAsia="Arial"/>
          <w:b/>
          <w:sz w:val="24"/>
          <w:szCs w:val="24"/>
        </w:rPr>
        <w:t xml:space="preserve"> ESTUDANTIS</w:t>
      </w:r>
      <w:r>
        <w:rPr>
          <w:rFonts w:ascii="Arial" w:hAnsi="Arial" w:eastAsia="Arial"/>
          <w:b/>
          <w:sz w:val="24"/>
          <w:szCs w:val="24"/>
        </w:rPr>
        <w:t xml:space="preserve"> DE DIVERSAS MODALIDADES NA CIDADE DE TERESÓPOLIS–RJ</w:t>
      </w:r>
      <w:r>
        <w:rPr>
          <w:rFonts w:ascii="Arial" w:hAnsi="Arial" w:eastAsia="Arial"/>
          <w:b/>
          <w:sz w:val="24"/>
          <w:szCs w:val="24"/>
        </w:rPr>
        <w:t xml:space="preserve">,</w:t>
      </w:r>
      <w:r>
        <w:rPr>
          <w:rFonts w:ascii="Arial" w:hAnsi="Arial" w:eastAsia="Arial"/>
          <w:b/>
          <w:sz w:val="24"/>
          <w:szCs w:val="24"/>
        </w:rPr>
        <w:t xml:space="preserve"> </w:t>
      </w:r>
      <w:r>
        <w:rPr>
          <w:rFonts w:ascii="Arial" w:hAnsi="Arial" w:eastAsia="Arial"/>
          <w:sz w:val="24"/>
          <w:szCs w:val="24"/>
        </w:rPr>
        <w:t xml:space="preserve">com observância nos Decretos Municipais nº 3.674 de 18 de maio de 2009, </w:t>
      </w:r>
      <w:r>
        <w:rPr>
          <w:rFonts w:ascii="Arial" w:hAnsi="Arial" w:eastAsia="Arial"/>
          <w:sz w:val="24"/>
          <w:szCs w:val="24"/>
        </w:rPr>
        <w:t xml:space="preserve">4.845 de 7 de fevereiro de 2017,</w:t>
      </w:r>
      <w:r>
        <w:rPr>
          <w:rFonts w:ascii="Arial" w:hAnsi="Arial" w:eastAsia="Arial"/>
          <w:sz w:val="24"/>
          <w:szCs w:val="24"/>
        </w:rPr>
        <w:t xml:space="preserve">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jc w:val="both"/>
        <w:spacing w:before="57" w:after="57" w:line="360" w:lineRule="auto"/>
        <w:rPr>
          <w:rFonts w:ascii="Arial" w:hAnsi="Arial" w:eastAsia="Arial"/>
          <w:sz w:val="24"/>
          <w:szCs w:val="24"/>
        </w:rPr>
      </w:pPr>
      <w:r>
        <w:rPr>
          <w:rFonts w:ascii="Arial" w:hAnsi="Arial" w:eastAsia="Arial"/>
          <w:sz w:val="24"/>
          <w:szCs w:val="24"/>
        </w:rPr>
      </w:r>
      <w:r/>
    </w:p>
    <w:p>
      <w:pPr>
        <w:pStyle w:val="108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b/>
          <w:bCs/>
          <w:sz w:val="24"/>
          <w:szCs w:val="24"/>
        </w:rPr>
      </w:pPr>
      <w:r>
        <w:rPr>
          <w:rFonts w:ascii="Arial" w:hAnsi="Arial"/>
          <w:sz w:val="24"/>
          <w:szCs w:val="24"/>
        </w:rPr>
        <w:t xml:space="preserve">O objeto da presente licitação é a escolha da proposta mais vantajosa para </w:t>
      </w:r>
      <w:r>
        <w:rPr>
          <w:rFonts w:ascii="Arial" w:hAnsi="Arial"/>
          <w:b/>
          <w:bCs/>
          <w:sz w:val="24"/>
          <w:szCs w:val="24"/>
        </w:rPr>
        <w:t xml:space="preserve">REGISTRO DE PREÇOS PARA</w:t>
      </w:r>
      <w:r>
        <w:rPr>
          <w:rFonts w:ascii="Arial" w:hAnsi="Arial"/>
          <w:sz w:val="24"/>
          <w:szCs w:val="24"/>
        </w:rPr>
        <w:t xml:space="preserve"> </w:t>
      </w:r>
      <w:r>
        <w:rPr>
          <w:rFonts w:ascii="Arial" w:hAnsi="Arial" w:eastAsia="Arial"/>
          <w:b/>
          <w:sz w:val="24"/>
          <w:szCs w:val="24"/>
        </w:rPr>
        <w:t xml:space="preserve">CONTRATAÇÃO DE EMPRESA ESPECIALIZADA </w:t>
      </w:r>
      <w:r>
        <w:rPr>
          <w:rFonts w:ascii="Arial" w:hAnsi="Arial" w:eastAsia="Arial"/>
          <w:b/>
          <w:sz w:val="24"/>
          <w:szCs w:val="24"/>
        </w:rPr>
        <w:t xml:space="preserve">EM</w:t>
      </w:r>
      <w:r>
        <w:rPr>
          <w:rFonts w:ascii="Arial" w:hAnsi="Arial" w:eastAsia="Arial"/>
          <w:b/>
          <w:sz w:val="24"/>
          <w:szCs w:val="24"/>
        </w:rPr>
        <w:t xml:space="preserve"> SERVIÇOS DE ARBITRAGEM PARA REALIZAÇÃO DE JOGOS</w:t>
      </w:r>
      <w:r>
        <w:rPr>
          <w:rFonts w:ascii="Arial" w:hAnsi="Arial" w:eastAsia="Arial"/>
          <w:b/>
          <w:sz w:val="24"/>
          <w:szCs w:val="24"/>
        </w:rPr>
        <w:t xml:space="preserve"> ESTUDANTIS</w:t>
      </w:r>
      <w:r>
        <w:rPr>
          <w:rFonts w:ascii="Arial" w:hAnsi="Arial" w:eastAsia="Arial"/>
          <w:b/>
          <w:sz w:val="24"/>
          <w:szCs w:val="24"/>
        </w:rPr>
        <w:t xml:space="preserve"> DE DIVERSAS MODALIDADES NA CIDADE DE </w:t>
      </w:r>
      <w:r>
        <w:rPr>
          <w:rFonts w:ascii="Arial" w:hAnsi="Arial" w:eastAsia="Arial"/>
          <w:b/>
          <w:sz w:val="24"/>
          <w:szCs w:val="24"/>
        </w:rPr>
        <w:t xml:space="preserve">TERESÓPOLIS–RJ</w:t>
      </w:r>
      <w:r>
        <w:rPr>
          <w:rFonts w:ascii="Arial" w:hAnsi="Arial"/>
          <w:sz w:val="24"/>
          <w:szCs w:val="24"/>
        </w:rPr>
        <w:t xml:space="preserve">, solicitado pela </w:t>
      </w:r>
      <w:r>
        <w:rPr>
          <w:rFonts w:ascii="Arial" w:hAnsi="Arial"/>
          <w:b/>
          <w:sz w:val="24"/>
          <w:szCs w:val="24"/>
        </w:rPr>
        <w:t xml:space="preserve">Secretaria Municipal de </w:t>
      </w:r>
      <w:r>
        <w:rPr>
          <w:rFonts w:ascii="Arial" w:hAnsi="Arial"/>
          <w:b/>
          <w:sz w:val="24"/>
          <w:szCs w:val="24"/>
        </w:rPr>
        <w:t xml:space="preserve">Educação</w:t>
      </w:r>
      <w:r>
        <w:rPr>
          <w:rFonts w:ascii="Arial" w:hAnsi="Arial"/>
          <w:sz w:val="24"/>
          <w:szCs w:val="24"/>
        </w:rPr>
        <w:t xml:space="preserve">, conforme condições, quantidades e exigências estabelecidas neste Edital e seus anexos.</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ComprasNet e no Termo de Referência (ANEXO I) do Edital, PREVALECERÁ, imprescindivelmente, a especificação contida no Termo de Referência.</w:t>
      </w:r>
      <w:r/>
    </w:p>
    <w:p>
      <w:pPr>
        <w:pStyle w:val="1091"/>
        <w:ind w:right="49" w:firstLine="0"/>
        <w:keepNext w:val="0"/>
        <w:spacing w:before="57" w:after="57" w:line="360" w:lineRule="auto"/>
        <w:shd w:val="clear" w:color="auto" w:fill="auto"/>
        <w:widowControl/>
        <w:tabs>
          <w:tab w:val="left" w:pos="851" w:leader="none"/>
        </w:tabs>
        <w:rPr>
          <w:rFonts w:ascii="Arial" w:hAnsi="Arial"/>
          <w:sz w:val="24"/>
        </w:rPr>
      </w:pPr>
      <w:r>
        <w:rPr>
          <w:rFonts w:ascii="Arial" w:hAnsi="Arial"/>
          <w:sz w:val="24"/>
        </w:rPr>
      </w:r>
      <w:r/>
    </w:p>
    <w:p>
      <w:pPr>
        <w:pStyle w:val="1087"/>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w:t>
      </w:r>
      <w:r>
        <w:rPr>
          <w:rFonts w:ascii="Arial" w:hAnsi="Arial" w:cs="Arial"/>
          <w:bCs/>
          <w:sz w:val="24"/>
        </w:rPr>
        <w:t xml:space="preserve">I</w:t>
      </w:r>
      <w:r>
        <w:rPr>
          <w:rFonts w:ascii="Arial" w:hAnsi="Arial" w:cs="Arial"/>
          <w:bCs/>
          <w:sz w:val="24"/>
        </w:rPr>
        <w:t xml:space="preserve">.</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SRP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SRP destinar-se-á ao atendimento das necessidades do município de Teresópolis, porém é admitida a adesão de órgãos não participantes.</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rPr>
        <w:t xml:space="preserve">Gerenciador da</w:t>
      </w:r>
      <w:r>
        <w:rPr>
          <w:rFonts w:ascii="Arial" w:hAnsi="Arial" w:cs="Arial"/>
          <w:bCs/>
          <w:sz w:val="24"/>
        </w:rPr>
        <w:t xml:space="preserve"> Ata, para que este indique os possíveis fornecedores e respectivos preços a serem praticados, obedecida a ordem de classificação.</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w:t>
      </w:r>
      <w:r>
        <w:rPr>
          <w:rFonts w:ascii="Arial" w:hAnsi="Arial" w:cs="Arial"/>
          <w:bCs/>
          <w:sz w:val="24"/>
        </w:rPr>
        <w:t xml:space="preserve">á</w:t>
      </w:r>
      <w:r>
        <w:rPr>
          <w:rFonts w:ascii="Arial" w:hAnsi="Arial" w:cs="Arial"/>
          <w:bCs/>
          <w:sz w:val="24"/>
        </w:rPr>
        <w:t xml:space="preserve"> observar os seguintes limitadores</w:t>
      </w:r>
      <w:r>
        <w:rPr>
          <w:rFonts w:ascii="Arial" w:hAnsi="Arial" w:cs="Arial"/>
          <w:bCs/>
          <w:sz w:val="24"/>
        </w:rPr>
        <w:t xml:space="preserve"> </w:t>
      </w:r>
      <w:r>
        <w:rPr>
          <w:rFonts w:ascii="Arial" w:hAnsi="Arial" w:cs="Arial"/>
          <w:bCs/>
          <w:sz w:val="24"/>
        </w:rPr>
        <w:t xml:space="preserve">quantitativos, a serem fiscalizados pelo Órgão Gerenciador:</w:t>
      </w:r>
      <w:r/>
    </w:p>
    <w:p>
      <w:pPr>
        <w:pStyle w:val="1091"/>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091"/>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091"/>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do </w:t>
      </w:r>
      <w:r>
        <w:rPr>
          <w:rFonts w:ascii="Arial" w:hAnsi="Arial" w:cs="Arial"/>
          <w:bCs/>
          <w:sz w:val="24"/>
        </w:rPr>
        <w:t xml:space="preserve">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0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0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0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0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1091"/>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087"/>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087"/>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w:t>
      </w:r>
      <w:r>
        <w:rPr>
          <w:rFonts w:ascii="Arial" w:hAnsi="Arial" w:cs="Arial"/>
          <w:bCs/>
          <w:sz w:val="24"/>
          <w:szCs w:val="24"/>
        </w:rPr>
        <w:t xml:space="preserve"> pedido do fornecedor, que poderá ser liberado quando:</w:t>
      </w:r>
      <w:r/>
    </w:p>
    <w:p>
      <w:pPr>
        <w:pStyle w:val="1087"/>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087"/>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09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w:t>
      </w:r>
      <w:r>
        <w:rPr>
          <w:rFonts w:ascii="Arial" w:hAnsi="Arial" w:cs="Arial"/>
          <w:bCs/>
          <w:sz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w:t>
      </w:r>
      <w:r>
        <w:rPr>
          <w:rFonts w:ascii="Arial" w:hAnsi="Arial" w:cs="Arial"/>
          <w:bCs/>
          <w:sz w:val="24"/>
        </w:rPr>
        <w:t xml:space="preserve">do Pregoeiro e </w:t>
      </w:r>
      <w:r>
        <w:rPr>
          <w:rFonts w:ascii="Arial" w:hAnsi="Arial" w:cs="Arial"/>
          <w:bCs/>
          <w:sz w:val="24"/>
        </w:rPr>
        <w:t xml:space="preserve">da Equipe de Pregão;</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 e</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091"/>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09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09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091"/>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091"/>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091"/>
        <w:ind w:left="851" w:right="49" w:firstLine="0"/>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eastAsia="Roman 12cpi"/>
          <w:bCs/>
          <w:sz w:val="24"/>
        </w:rPr>
      </w:r>
      <w:r/>
    </w:p>
    <w:p>
      <w:pPr>
        <w:pStyle w:val="1087"/>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SICAF, que permite a participação dos interessados na modalidade licitatória Pregão, em sua forma eletrônica.</w:t>
      </w:r>
      <w:r>
        <w:rPr>
          <w:rFonts w:ascii="Arial" w:hAnsi="Arial"/>
          <w:sz w:val="24"/>
          <w:szCs w:val="24"/>
        </w:rPr>
        <w:t xml:space="preserve"> </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SICAF deverá ser feito no Portal de Compras do Governo Federal, sítio </w:t>
      </w:r>
      <w:hyperlink r:id="rId15" w:tooltip="https://www.comprasgovernamentais.gov.br/index.php/sicaf" w:history="1">
        <w:r>
          <w:rPr>
            <w:rStyle w:val="1086"/>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w:t>
      </w:r>
      <w:r>
        <w:rPr>
          <w:rFonts w:ascii="Arial" w:hAnsi="Arial"/>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ind w:right="49"/>
        <w:jc w:val="both"/>
        <w:spacing w:before="57" w:after="57" w:line="360" w:lineRule="auto"/>
        <w:rPr>
          <w:rFonts w:ascii="Arial" w:hAnsi="Arial"/>
          <w:sz w:val="24"/>
          <w:szCs w:val="24"/>
        </w:rPr>
      </w:pPr>
      <w:r>
        <w:rPr>
          <w:rFonts w:ascii="Arial" w:hAnsi="Arial"/>
          <w:sz w:val="24"/>
          <w:szCs w:val="24"/>
        </w:rPr>
      </w:r>
      <w:r/>
    </w:p>
    <w:p>
      <w:pPr>
        <w:pStyle w:val="915"/>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 xml:space="preserve">conforme disposto no art. 9º da IN SEGES/MP nº 3, de 2018.</w:t>
      </w:r>
      <w:r/>
    </w:p>
    <w:p>
      <w:pPr>
        <w:pStyle w:val="915"/>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para as microempresas e empresas de pequeno porte, para as sociedades cooperativas mencionadas no artigo 34 da Lei nº 11.488, de 2007, para o agricu</w:t>
      </w:r>
      <w:r>
        <w:rPr>
          <w:rFonts w:ascii="Arial" w:hAnsi="Arial"/>
          <w:bCs/>
          <w:iCs/>
          <w:sz w:val="24"/>
          <w:szCs w:val="24"/>
        </w:rPr>
        <w:t xml:space="preserve">ltor familiar, o produtor rural pessoa física e para o microempreendedor individual - MEI, bem como o Empresário Individual e o EIRELI, nos limites previstos da Lei Complementar nº 123, de 2006, desde que se declarem no campo adequado do sistema de pregão </w:t>
      </w:r>
      <w:r>
        <w:rPr>
          <w:rFonts w:ascii="Arial" w:hAnsi="Arial"/>
          <w:bCs/>
          <w:iCs/>
          <w:sz w:val="24"/>
          <w:szCs w:val="24"/>
        </w:rPr>
        <w:t xml:space="preserve">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w:t>
      </w:r>
      <w:r>
        <w:rPr>
          <w:rFonts w:ascii="Arial" w:hAnsi="Arial"/>
          <w:bCs/>
          <w:sz w:val="24"/>
          <w:szCs w:val="24"/>
        </w:rPr>
        <w:t xml:space="preserve"> </w:t>
      </w:r>
      <w:r>
        <w:rPr>
          <w:rFonts w:ascii="Arial" w:hAnsi="Arial"/>
          <w:bCs/>
          <w:sz w:val="24"/>
          <w:szCs w:val="24"/>
        </w:rPr>
        <w:t xml:space="preserve">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w:t>
      </w:r>
      <w:r>
        <w:rPr>
          <w:rFonts w:ascii="Arial" w:hAnsi="Arial"/>
          <w:sz w:val="24"/>
          <w:szCs w:val="24"/>
        </w:rPr>
        <w:t xml:space="preserve">falência, concurso</w:t>
      </w:r>
      <w:r>
        <w:rPr>
          <w:rFonts w:ascii="Arial" w:hAnsi="Arial"/>
          <w:sz w:val="24"/>
          <w:szCs w:val="24"/>
        </w:rPr>
        <w:t xml:space="preserve"> de credores, concordata ou em processo de dissolução ou liquidação.</w:t>
      </w:r>
      <w:r/>
    </w:p>
    <w:p>
      <w:pPr>
        <w:pStyle w:val="915"/>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w:t>
      </w:r>
      <w:r>
        <w:rPr>
          <w:rFonts w:ascii="Arial" w:hAnsi="Arial"/>
          <w:sz w:val="24"/>
          <w:szCs w:val="24"/>
        </w:rPr>
        <w:t xml:space="preserve">órcio, visto que tal conduta não limitará a competitividade, pois o objeto do presente procedimento licitatório se trata de atividade com ampla competitividade de mercado, existindo diversas empresas do ramo que conseguem fornecer o objeto pretendido pela </w:t>
      </w:r>
      <w:r>
        <w:rPr>
          <w:rFonts w:ascii="Arial" w:hAnsi="Arial"/>
          <w:sz w:val="24"/>
          <w:szCs w:val="24"/>
        </w:rPr>
        <w:t xml:space="preserve">Secretaria Municipa</w:t>
      </w:r>
      <w:r>
        <w:rPr>
          <w:rFonts w:ascii="Arial" w:hAnsi="Arial"/>
          <w:sz w:val="24"/>
          <w:szCs w:val="24"/>
        </w:rPr>
        <w:t xml:space="preserve">l</w:t>
      </w:r>
      <w:r>
        <w:rPr>
          <w:rFonts w:ascii="Arial" w:hAnsi="Arial"/>
          <w:sz w:val="24"/>
          <w:szCs w:val="24"/>
        </w:rPr>
        <w:t xml:space="preserve"> de </w:t>
      </w:r>
      <w:r>
        <w:rPr>
          <w:rFonts w:ascii="Arial" w:hAnsi="Arial"/>
          <w:sz w:val="24"/>
          <w:szCs w:val="24"/>
        </w:rPr>
        <w:t xml:space="preserve">Educação</w:t>
      </w:r>
      <w:r>
        <w:rPr>
          <w:rFonts w:ascii="Arial" w:hAnsi="Arial"/>
          <w:sz w:val="24"/>
          <w:szCs w:val="24"/>
        </w:rPr>
        <w:t xml:space="preserve"> neste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SLTI/MP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w:t>
      </w:r>
      <w:r>
        <w:rPr>
          <w:rFonts w:ascii="Arial" w:hAnsi="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ind w:right="49"/>
        <w:jc w:val="both"/>
        <w:spacing w:before="57" w:after="57" w:line="360" w:lineRule="auto"/>
        <w:tabs>
          <w:tab w:val="left" w:pos="851" w:leader="none"/>
        </w:tabs>
        <w:rPr>
          <w:rFonts w:ascii="Arial" w:hAnsi="Arial"/>
          <w:sz w:val="24"/>
          <w:szCs w:val="24"/>
        </w:rPr>
      </w:pPr>
      <w:r>
        <w:rPr>
          <w:rFonts w:ascii="Arial" w:hAnsi="Arial"/>
          <w:sz w:val="24"/>
          <w:szCs w:val="24"/>
        </w:rPr>
      </w:r>
      <w:r/>
    </w:p>
    <w:p>
      <w:pPr>
        <w:pStyle w:val="1090"/>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w:t>
      </w:r>
      <w:r>
        <w:rPr>
          <w:rFonts w:ascii="Arial" w:hAnsi="Arial"/>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right="49"/>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15"/>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w:t>
      </w:r>
      <w:r>
        <w:rPr>
          <w:rFonts w:ascii="Arial" w:hAnsi="Arial"/>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915"/>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090"/>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15"/>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15"/>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 lance deverá ser ofertado pelo valor total do item.</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15"/>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15"/>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15"/>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1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15"/>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menor preço global</w:t>
      </w:r>
      <w:r>
        <w:rPr>
          <w:rFonts w:ascii="Arial" w:hAnsi="Arial"/>
          <w:sz w:val="24"/>
          <w:szCs w:val="24"/>
        </w:rPr>
        <w:t xml:space="preserve">,</w:t>
      </w:r>
      <w:r>
        <w:rPr>
          <w:rFonts w:ascii="Arial" w:hAnsi="Arial"/>
          <w:sz w:val="24"/>
          <w:szCs w:val="24"/>
        </w:rPr>
        <w:t xml:space="preserve"> conforme definido neste Edital e seus anexos. </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w:t>
      </w:r>
      <w:r>
        <w:rPr>
          <w:rFonts w:ascii="Arial" w:hAnsi="Arial"/>
          <w:sz w:val="24"/>
          <w:szCs w:val="24"/>
        </w:rPr>
        <w:t xml:space="preserve">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1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1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15"/>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1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15"/>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15"/>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915"/>
        <w:contextualSpacing w:val="0"/>
        <w:ind w:left="0" w:right="49"/>
        <w:jc w:val="both"/>
        <w:spacing w:before="57" w:after="57" w:line="360" w:lineRule="auto"/>
        <w:rPr>
          <w:rFonts w:ascii="Arial" w:hAnsi="Arial"/>
          <w:sz w:val="24"/>
          <w:szCs w:val="24"/>
        </w:rPr>
      </w:pPr>
      <w:r>
        <w:rPr>
          <w:rFonts w:ascii="Arial" w:hAnsi="Arial"/>
          <w:sz w:val="24"/>
          <w:szCs w:val="24"/>
        </w:rPr>
      </w:r>
      <w:r/>
    </w:p>
    <w:p>
      <w:pPr>
        <w:pStyle w:val="1087"/>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pStyle w:val="1087"/>
        <w:numPr>
          <w:ilvl w:val="1"/>
          <w:numId w:val="1"/>
        </w:numPr>
        <w:ind w:left="851" w:right="49" w:hanging="567"/>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 Não serão exigidas amostras.</w:t>
      </w:r>
      <w:r/>
    </w:p>
    <w:p>
      <w:pPr>
        <w:pStyle w:val="1087"/>
        <w:ind w:left="284" w:right="49"/>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sz w:val="24"/>
          <w:szCs w:val="24"/>
        </w:rPr>
      </w:r>
      <w:r/>
    </w:p>
    <w:p>
      <w:pPr>
        <w:pStyle w:val="1090"/>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w:t>
      </w:r>
      <w:r>
        <w:rPr>
          <w:rFonts w:ascii="Arial" w:hAnsi="Arial"/>
          <w:sz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jc w:val="both"/>
        <w:spacing w:before="57" w:after="57" w:line="360" w:lineRule="auto"/>
        <w:tabs>
          <w:tab w:val="left" w:pos="851" w:leader="none"/>
        </w:tabs>
        <w:rPr>
          <w:rFonts w:ascii="Arial" w:hAnsi="Arial"/>
          <w:sz w:val="24"/>
        </w:rPr>
      </w:pPr>
      <w:r>
        <w:rPr>
          <w:rFonts w:ascii="Arial" w:hAnsi="Arial"/>
          <w:sz w:val="24"/>
        </w:rPr>
      </w:r>
      <w:r/>
    </w:p>
    <w:p>
      <w:pPr>
        <w:pStyle w:val="1087"/>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1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r/>
    </w:p>
    <w:p>
      <w:pPr>
        <w:pStyle w:val="915"/>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 – Sistema de Cadastro Unificado de Fornecedores.</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w:t>
      </w:r>
      <w:r>
        <w:rPr>
          <w:rFonts w:ascii="Arial" w:hAnsi="Arial"/>
          <w:bCs/>
          <w:sz w:val="24"/>
          <w:szCs w:val="24"/>
        </w:rPr>
        <w:t xml:space="preserve">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w:t>
      </w:r>
      <w:r>
        <w:rPr>
          <w:rFonts w:ascii="Arial" w:hAnsi="Arial"/>
          <w:bCs/>
          <w:sz w:val="24"/>
          <w:szCs w:val="24"/>
        </w:rPr>
        <w:t xml:space="preserve">Inidôneos e</w:t>
      </w:r>
      <w:r>
        <w:rPr>
          <w:rFonts w:ascii="Arial" w:hAnsi="Arial"/>
          <w:bCs/>
          <w:sz w:val="24"/>
          <w:szCs w:val="24"/>
        </w:rPr>
        <w:t xml:space="preserve"> o Cadastro Integrado de Condenações por Ilícitos Administrativos - CADICON, mantidos pelo Tribunal de Contas da União – TCU.</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1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1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1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15"/>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086"/>
            <w:rFonts w:ascii="Arial" w:hAnsi="Arial"/>
            <w:color w:val="000000"/>
            <w:sz w:val="24"/>
            <w:szCs w:val="24"/>
          </w:rPr>
          <w:t xml:space="preserve">https://certidoes-apf.apps.tcu.gov.br/</w:t>
        </w:r>
      </w:hyperlink>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w:t>
      </w:r>
      <w:r>
        <w:rPr>
          <w:rFonts w:ascii="Arial" w:hAnsi="Arial"/>
          <w:bCs/>
          <w:sz w:val="24"/>
          <w:szCs w:val="24"/>
        </w:rPr>
        <w:t xml:space="preserve">Lei Complementar nº 123, de 2006, seguindo-se a disciplina antes estabelecida para aceitação da proposta subsequente.</w:t>
      </w:r>
      <w:r/>
    </w:p>
    <w:p>
      <w:pPr>
        <w:pStyle w:val="915"/>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w:t>
      </w:r>
      <w:r>
        <w:rPr>
          <w:rFonts w:ascii="Arial" w:hAnsi="Arial"/>
          <w:sz w:val="24"/>
          <w:szCs w:val="24"/>
          <w:lang w:eastAsia="ar-SA"/>
        </w:rPr>
        <w:t xml:space="preserve">arts</w:t>
      </w:r>
      <w:r>
        <w:rPr>
          <w:rFonts w:ascii="Arial" w:hAnsi="Arial"/>
          <w:sz w:val="24"/>
          <w:szCs w:val="24"/>
          <w:lang w:eastAsia="ar-SA"/>
        </w:rPr>
        <w:t xml:space="preserve"> </w:t>
      </w:r>
      <w:r>
        <w:rPr>
          <w:rFonts w:ascii="Arial" w:hAnsi="Arial"/>
          <w:sz w:val="24"/>
          <w:szCs w:val="24"/>
          <w:lang w:eastAsia="ar-SA"/>
        </w:rPr>
        <w:t xml:space="preserve">10, 11, 12, 13, 14, 15 e 16 da Instrução Normativa SEGES/MP nº 03, de 2018.</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w:t>
      </w:r>
      <w:r>
        <w:rPr>
          <w:rFonts w:ascii="Arial" w:hAnsi="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91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15"/>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86"/>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EIRELI: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w:t>
      </w:r>
      <w:r>
        <w:rPr>
          <w:rFonts w:ascii="Arial" w:hAnsi="Arial"/>
          <w:bCs/>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15"/>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15"/>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w:t>
      </w:r>
      <w:r>
        <w:rPr>
          <w:rFonts w:ascii="Arial" w:hAnsi="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w:t>
      </w:r>
      <w:r>
        <w:rPr>
          <w:rFonts w:ascii="Arial" w:hAnsi="Arial"/>
          <w:sz w:val="24"/>
          <w:szCs w:val="24"/>
          <w:lang w:bidi="pt-BR"/>
        </w:rPr>
        <w:t xml:space="preserve">menor preço </w:t>
      </w:r>
      <w:r>
        <w:rPr>
          <w:rFonts w:ascii="Arial" w:hAnsi="Arial"/>
          <w:sz w:val="24"/>
          <w:szCs w:val="24"/>
          <w:lang w:bidi="pt-BR"/>
        </w:rPr>
        <w:t xml:space="preserve">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15"/>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w:t>
      </w:r>
      <w:r>
        <w:rPr>
          <w:rFonts w:ascii="Arial" w:hAnsi="Arial"/>
          <w:b/>
          <w:sz w:val="24"/>
          <w:szCs w:val="24"/>
        </w:rPr>
        <w:t xml:space="preserve">-financeira: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bookmarkStart w:id="0" w:name="_Hlk49333951"/>
      <w:r>
        <w:rPr>
          <w:rFonts w:ascii="Arial" w:hAnsi="Arial"/>
          <w:sz w:val="24"/>
          <w:szCs w:val="24"/>
        </w:rPr>
        <w:t xml:space="preserve"> em conjunto com a </w:t>
      </w:r>
      <w:r>
        <w:rPr>
          <w:rFonts w:ascii="Arial" w:hAnsi="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sz w:val="24"/>
          <w:szCs w:val="24"/>
        </w:rPr>
        <w:t xml:space="preserv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w:t>
      </w:r>
      <w:r>
        <w:rPr>
          <w:rFonts w:ascii="Arial" w:hAnsi="Arial"/>
          <w:b/>
          <w:sz w:val="24"/>
          <w:szCs w:val="24"/>
        </w:rPr>
        <w:t xml:space="preserve">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w:t>
      </w:r>
      <w:r>
        <w:rPr>
          <w:rFonts w:ascii="Arial" w:hAnsi="Arial" w:eastAsia="Arial"/>
          <w:sz w:val="24"/>
          <w:szCs w:val="24"/>
        </w:rPr>
        <w:t xml:space="preserve"> ser apresentado, para a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w:t>
      </w:r>
      <w:r>
        <w:rPr>
          <w:rFonts w:ascii="Arial" w:hAnsi="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superiores a 1 </w:t>
      </w:r>
      <w:r>
        <w:rPr>
          <w:rFonts w:ascii="Arial" w:hAnsi="Arial"/>
          <w:sz w:val="24"/>
          <w:szCs w:val="24"/>
        </w:rPr>
        <w:t xml:space="preserve">(um</w:t>
      </w:r>
      <w:r>
        <w:rPr>
          <w:rFonts w:ascii="Arial" w:hAnsi="Arial"/>
          <w:sz w:val="24"/>
          <w:szCs w:val="24"/>
        </w:rPr>
        <w:t xml:space="preserve">)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15"/>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Certificado de Curso Oficial de Arbitragem, emitido por Entidade Oficial competente de cada desporto, nas áreas especificas de acordo com as modalidades esportivas;</w:t>
      </w:r>
      <w:r/>
    </w:p>
    <w:p>
      <w:pPr>
        <w:pStyle w:val="915"/>
        <w:numPr>
          <w:ilvl w:val="3"/>
          <w:numId w:val="1"/>
        </w:numPr>
        <w:contextualSpacing w:val="0"/>
        <w:ind w:left="3119" w:right="51" w:hanging="1134"/>
        <w:jc w:val="both"/>
        <w:spacing w:before="57" w:after="57" w:line="360" w:lineRule="auto"/>
        <w:tabs>
          <w:tab w:val="left" w:pos="3119" w:leader="none"/>
        </w:tabs>
        <w:rPr>
          <w:rFonts w:ascii="Arial" w:hAnsi="Arial"/>
          <w:sz w:val="24"/>
          <w:szCs w:val="24"/>
        </w:rPr>
      </w:pPr>
      <w:r>
        <w:rPr>
          <w:rFonts w:ascii="Arial" w:hAnsi="Arial"/>
          <w:sz w:val="24"/>
          <w:szCs w:val="24"/>
        </w:rPr>
        <w:t xml:space="preserve">São modalidades esportivas: basquete, futsal, futebol de campo, handebol, voleibol, atletismo, badminton, orientação, tênis de mesa e xadrez; </w:t>
      </w:r>
      <w:r/>
    </w:p>
    <w:p>
      <w:pPr>
        <w:pStyle w:val="915"/>
        <w:numPr>
          <w:ilvl w:val="2"/>
          <w:numId w:val="1"/>
        </w:numPr>
        <w:contextualSpacing w:val="0"/>
        <w:ind w:right="51"/>
        <w:jc w:val="both"/>
        <w:spacing w:before="57" w:after="57" w:line="360" w:lineRule="auto"/>
        <w:tabs>
          <w:tab w:val="left" w:pos="1985" w:leader="none"/>
        </w:tabs>
        <w:rPr>
          <w:rFonts w:ascii="Arial" w:hAnsi="Arial"/>
          <w:sz w:val="24"/>
          <w:szCs w:val="24"/>
        </w:rPr>
      </w:pPr>
      <w:r>
        <w:rPr>
          <w:rFonts w:ascii="Arial" w:hAnsi="Arial"/>
          <w:sz w:val="24"/>
          <w:szCs w:val="24"/>
        </w:rPr>
        <w:t xml:space="preserve">Certificado do Conselho Regional de Educação Física- CREF</w:t>
      </w:r>
      <w:r>
        <w:rPr>
          <w:rFonts w:ascii="Arial" w:hAnsi="Arial"/>
          <w:sz w:val="24"/>
          <w:szCs w:val="24"/>
        </w:rPr>
        <w:t xml:space="preserve"> ativo de profissional de educação física </w:t>
      </w:r>
      <w:r>
        <w:rPr>
          <w:rFonts w:ascii="Arial" w:hAnsi="Arial"/>
          <w:sz w:val="24"/>
          <w:szCs w:val="24"/>
        </w:rPr>
        <w:t xml:space="preserve">em relação as modalidades cabo de guerra, damas e queimado.</w:t>
      </w:r>
      <w:r/>
    </w:p>
    <w:p>
      <w:pPr>
        <w:pStyle w:val="915"/>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915"/>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1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15"/>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15"/>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1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15"/>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15"/>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15"/>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1090"/>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1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1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915"/>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1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087"/>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15"/>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87"/>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1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91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w:t>
      </w:r>
      <w:r>
        <w:rPr>
          <w:rFonts w:ascii="Arial" w:hAnsi="Arial"/>
          <w:sz w:val="24"/>
          <w:szCs w:val="24"/>
        </w:rPr>
        <w:t xml:space="preserve">s, pelo sistema eletrônico, ficando os demais licitantes, desde logo, intimados para, querendo, apresentarem contrarrazões também pelo sistema eletrônico, em outros 03 (três) dias úteis, que começarão a contar do término do prazo do recorrente, sendo-lhes </w:t>
      </w:r>
      <w:r>
        <w:rPr>
          <w:rFonts w:ascii="Arial" w:hAnsi="Arial"/>
          <w:sz w:val="24"/>
          <w:szCs w:val="24"/>
        </w:rPr>
        <w:t xml:space="preserve">assegurada vista imediata dos elementos indispensáveis à defesa de seus interesses.</w:t>
      </w:r>
      <w:r/>
    </w:p>
    <w:p>
      <w:pPr>
        <w:pStyle w:val="91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15"/>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915"/>
        <w:contextualSpacing w:val="0"/>
        <w:ind w:left="0" w:right="51"/>
        <w:jc w:val="both"/>
        <w:spacing w:before="57" w:after="57" w:line="360" w:lineRule="auto"/>
        <w:rPr>
          <w:rFonts w:ascii="Arial" w:hAnsi="Arial"/>
          <w:sz w:val="24"/>
          <w:szCs w:val="24"/>
        </w:rPr>
      </w:pPr>
      <w:r>
        <w:rPr>
          <w:rFonts w:ascii="Arial" w:hAnsi="Arial"/>
          <w:sz w:val="24"/>
          <w:szCs w:val="24"/>
        </w:rPr>
      </w:r>
      <w:r/>
    </w:p>
    <w:p>
      <w:pPr>
        <w:pStyle w:val="108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090"/>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09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90"/>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09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090"/>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SICAF, sendo responsabilidade do licitante manter seus dados cadastrais atualizados.</w:t>
      </w:r>
      <w:r/>
    </w:p>
    <w:p>
      <w:pPr>
        <w:pStyle w:val="108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1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w:t>
      </w:r>
      <w:r>
        <w:rPr>
          <w:rFonts w:ascii="Arial" w:hAnsi="Arial"/>
          <w:sz w:val="24"/>
          <w:szCs w:val="24"/>
        </w:rPr>
        <w:t xml:space="preserve">autoridade competente, após a regular decisão dos recursos apresentados.</w:t>
      </w:r>
      <w:r/>
    </w:p>
    <w:p>
      <w:pPr>
        <w:pStyle w:val="915"/>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numPr>
          <w:ilvl w:val="0"/>
          <w:numId w:val="1"/>
        </w:numPr>
        <w:ind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ATA DE REGISTRO DE PREÇOS</w:t>
      </w:r>
      <w:r/>
    </w:p>
    <w:p>
      <w:pPr>
        <w:pStyle w:val="91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087"/>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91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1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915"/>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cotar os bens ou serviços com preços iguais aos do licitante vencedor na sequência da classificação do certame, excluído o percentual </w:t>
      </w:r>
      <w:r>
        <w:rPr>
          <w:rFonts w:ascii="Arial" w:hAnsi="Arial" w:cs="Arial" w:eastAsia="Arial"/>
          <w:sz w:val="24"/>
          <w:szCs w:val="24"/>
        </w:rPr>
        <w:t xml:space="preserve">referente à margem de preferência, quando o objeto não atender aos requisitos previstos no art. 3º da Lei nº 8.666, de 1993.</w:t>
      </w:r>
      <w:r/>
    </w:p>
    <w:p>
      <w:pPr>
        <w:ind w:left="426" w:right="49"/>
        <w:jc w:val="both"/>
        <w:spacing w:before="57" w:after="57" w:line="360" w:lineRule="auto"/>
        <w:rPr>
          <w:rFonts w:ascii="Arial" w:hAnsi="Arial" w:cs="Arial" w:eastAsia="Arial"/>
          <w:sz w:val="24"/>
          <w:szCs w:val="24"/>
        </w:rPr>
      </w:pPr>
      <w:r>
        <w:rPr>
          <w:rFonts w:ascii="Arial" w:hAnsi="Arial" w:cs="Arial" w:eastAsia="Arial"/>
          <w:sz w:val="24"/>
          <w:szCs w:val="24"/>
        </w:rPr>
      </w:r>
      <w:r/>
    </w:p>
    <w:p>
      <w:pPr>
        <w:pStyle w:val="1087"/>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 </w:t>
      </w:r>
      <w:r/>
    </w:p>
    <w:p>
      <w:pPr>
        <w:pStyle w:val="1087"/>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08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87"/>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w:t>
      </w:r>
      <w:r>
        <w:rPr>
          <w:rFonts w:ascii="Arial" w:hAnsi="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090"/>
        <w:numPr>
          <w:ilvl w:val="1"/>
          <w:numId w:val="1"/>
        </w:numPr>
        <w:ind w:left="1134" w:right="51" w:hanging="708"/>
        <w:spacing w:before="57" w:after="57" w:line="360" w:lineRule="auto"/>
        <w:tabs>
          <w:tab w:val="clear" w:pos="567" w:leader="none"/>
          <w:tab w:val="left" w:pos="1134" w:leader="none"/>
        </w:tabs>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91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1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1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15"/>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15"/>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090"/>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ind w:left="1134"/>
        <w:jc w:val="both"/>
        <w:spacing w:before="57" w:after="57" w:line="360" w:lineRule="auto"/>
        <w:rPr>
          <w:rFonts w:ascii="Arial" w:hAnsi="Arial"/>
          <w:sz w:val="24"/>
          <w:lang w:eastAsia="pt-BR"/>
        </w:rPr>
      </w:pPr>
      <w:r>
        <w:rPr>
          <w:rFonts w:ascii="Arial" w:hAnsi="Arial"/>
          <w:sz w:val="24"/>
          <w:lang w:eastAsia="pt-BR"/>
        </w:rPr>
      </w:r>
      <w:r/>
    </w:p>
    <w:p>
      <w:pPr>
        <w:pStyle w:val="1073"/>
        <w:numPr>
          <w:ilvl w:val="0"/>
          <w:numId w:val="1"/>
        </w:numPr>
        <w:ind w:left="284" w:right="49" w:hanging="284"/>
        <w:keepNext w:val="0"/>
        <w:spacing w:before="57" w:after="57" w:line="360" w:lineRule="auto"/>
        <w:widowControl w:val="off"/>
        <w:tabs>
          <w:tab w:val="left" w:pos="426" w:leader="none"/>
        </w:tabs>
        <w:rPr>
          <w:rFonts w:ascii="Arial" w:hAnsi="Arial"/>
          <w:u w:val="none"/>
        </w:rPr>
      </w:pPr>
      <w:r/>
      <w:bookmarkStart w:id="2" w:name="_Hlk34387742"/>
      <w:r>
        <w:rPr>
          <w:rFonts w:ascii="Arial" w:hAnsi="Arial"/>
          <w:u w:val="none"/>
        </w:rPr>
        <w:t xml:space="preserve"> DO </w:t>
      </w:r>
      <w:r>
        <w:rPr>
          <w:rFonts w:ascii="Arial" w:hAnsi="Arial"/>
          <w:u w:val="none"/>
        </w:rPr>
        <w:t xml:space="preserve">LOCAL E PRAZO PARA EXECUÇÃO DOS SERVIÇOS</w:t>
      </w:r>
      <w:r/>
    </w:p>
    <w:p>
      <w:pPr>
        <w:pStyle w:val="915"/>
        <w:numPr>
          <w:ilvl w:val="1"/>
          <w:numId w:val="1"/>
        </w:numPr>
        <w:contextualSpacing w:val="0"/>
        <w:ind w:left="1134" w:right="49" w:hanging="708"/>
        <w:jc w:val="both"/>
        <w:spacing w:before="57" w:after="57" w:line="360" w:lineRule="auto"/>
        <w:widowControl w:val="off"/>
        <w:rPr>
          <w:rFonts w:ascii="Arial" w:hAnsi="Arial"/>
          <w:sz w:val="24"/>
          <w:szCs w:val="24"/>
        </w:rPr>
      </w:pPr>
      <w:r>
        <w:rPr>
          <w:rFonts w:ascii="Arial" w:hAnsi="Arial" w:cs="Arial" w:eastAsia="Times New Roman"/>
          <w:color w:val="000000"/>
          <w:sz w:val="24"/>
          <w:szCs w:val="24"/>
        </w:rPr>
        <w:t xml:space="preserve">O objeto contratual deverá ser fornecido em conf</w:t>
      </w:r>
      <w:r>
        <w:rPr>
          <w:rFonts w:ascii="Arial" w:hAnsi="Arial" w:cs="Arial" w:eastAsia="Times New Roman"/>
          <w:color w:val="000000"/>
          <w:sz w:val="24"/>
          <w:szCs w:val="24"/>
        </w:rPr>
        <w:t xml:space="preserve">ormidade com as especificações do Termo de Referência- Anexo I</w:t>
      </w:r>
      <w:r>
        <w:rPr>
          <w:rFonts w:ascii="Arial" w:hAnsi="Arial" w:cs="Arial" w:eastAsia="Times New Roman"/>
          <w:color w:val="000000"/>
          <w:sz w:val="24"/>
          <w:szCs w:val="24"/>
        </w:rPr>
        <w:t xml:space="preserve"> estabelecidas deste instrumento, conforme a execução do objeto ou de acordo com a necessidade da CONTRATANTE </w:t>
      </w:r>
      <w:r>
        <w:rPr>
          <w:rFonts w:ascii="Arial" w:hAnsi="Arial" w:cs="Arial" w:eastAsia="Times New Roman"/>
          <w:color w:val="000000"/>
          <w:sz w:val="24"/>
          <w:szCs w:val="24"/>
        </w:rPr>
        <w:t xml:space="preserve">no prazo de 02</w:t>
      </w:r>
      <w:r>
        <w:rPr>
          <w:rFonts w:ascii="Arial" w:hAnsi="Arial" w:cs="Arial" w:eastAsia="Times New Roman"/>
          <w:color w:val="000000"/>
          <w:sz w:val="24"/>
          <w:szCs w:val="24"/>
        </w:rPr>
        <w:t xml:space="preserve"> (</w:t>
      </w:r>
      <w:r>
        <w:rPr>
          <w:rFonts w:ascii="Arial" w:hAnsi="Arial" w:cs="Arial" w:eastAsia="Times New Roman"/>
          <w:color w:val="000000"/>
          <w:sz w:val="24"/>
          <w:szCs w:val="24"/>
        </w:rPr>
        <w:t xml:space="preserve">dois</w:t>
      </w:r>
      <w:r>
        <w:rPr>
          <w:rFonts w:ascii="Arial" w:hAnsi="Arial" w:cs="Arial" w:eastAsia="Times New Roman"/>
          <w:color w:val="000000"/>
          <w:sz w:val="24"/>
          <w:szCs w:val="24"/>
        </w:rPr>
        <w:t xml:space="preserve">) dias</w:t>
      </w:r>
      <w:r>
        <w:rPr>
          <w:rFonts w:ascii="Arial" w:hAnsi="Arial" w:cs="Arial" w:eastAsia="Times New Roman"/>
          <w:color w:val="000000"/>
          <w:sz w:val="24"/>
          <w:szCs w:val="24"/>
        </w:rPr>
        <w:t xml:space="preserve"> contado a partir do recebimento da Ordem de Serviço ou instrumento hábil. </w:t>
      </w:r>
      <w:r/>
    </w:p>
    <w:p>
      <w:pPr>
        <w:pStyle w:val="915"/>
        <w:numPr>
          <w:ilvl w:val="1"/>
          <w:numId w:val="1"/>
        </w:numPr>
        <w:contextualSpacing w:val="0"/>
        <w:ind w:left="1134" w:right="49" w:hanging="708"/>
        <w:jc w:val="both"/>
        <w:spacing w:before="57" w:after="57" w:line="360" w:lineRule="auto"/>
        <w:widowControl w:val="off"/>
        <w:rPr>
          <w:rFonts w:ascii="Arial" w:hAnsi="Arial"/>
          <w:sz w:val="24"/>
          <w:szCs w:val="24"/>
        </w:rPr>
      </w:pPr>
      <w:r>
        <w:rPr>
          <w:rFonts w:ascii="Arial" w:hAnsi="Arial" w:cs="Arial" w:eastAsia="Times New Roman"/>
          <w:color w:val="000000"/>
          <w:sz w:val="24"/>
          <w:szCs w:val="24"/>
        </w:rPr>
        <w:t xml:space="preserve">A execução do serviço licitado deverá ser </w:t>
      </w:r>
      <w:r>
        <w:rPr>
          <w:rFonts w:ascii="Arial" w:hAnsi="Arial" w:cs="Arial" w:eastAsia="Times New Roman"/>
          <w:color w:val="000000"/>
          <w:sz w:val="24"/>
          <w:szCs w:val="24"/>
        </w:rPr>
        <w:t xml:space="preserve">prestado</w:t>
      </w:r>
      <w:r>
        <w:rPr>
          <w:rFonts w:ascii="Arial" w:hAnsi="Arial" w:cs="Arial" w:eastAsia="Times New Roman"/>
          <w:color w:val="000000"/>
          <w:sz w:val="24"/>
          <w:szCs w:val="24"/>
        </w:rPr>
        <w:t xml:space="preserve"> no local</w:t>
      </w:r>
      <w:r>
        <w:rPr>
          <w:rFonts w:ascii="Arial" w:hAnsi="Arial" w:cs="Arial" w:eastAsia="Times New Roman"/>
          <w:color w:val="000000"/>
          <w:sz w:val="24"/>
          <w:szCs w:val="24"/>
        </w:rPr>
        <w:t xml:space="preserve"> a ser</w:t>
      </w:r>
      <w:r>
        <w:rPr>
          <w:rFonts w:ascii="Arial" w:hAnsi="Arial" w:cs="Arial" w:eastAsia="Times New Roman"/>
          <w:color w:val="000000"/>
          <w:sz w:val="24"/>
          <w:szCs w:val="24"/>
        </w:rPr>
        <w:t xml:space="preserve"> designado pela Secretaria Municipal de Educação.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O recebimento será efetivado nos seguintes termos:</w:t>
      </w:r>
      <w:r/>
    </w:p>
    <w:p>
      <w:pPr>
        <w:numPr>
          <w:ilvl w:val="2"/>
          <w:numId w:val="1"/>
        </w:numPr>
        <w:ind w:left="1985" w:right="49" w:hanging="851"/>
        <w:jc w:val="both"/>
        <w:spacing w:after="120" w:line="360" w:lineRule="auto"/>
        <w:rPr>
          <w:rFonts w:ascii="Arial" w:hAnsi="Arial"/>
          <w:sz w:val="24"/>
          <w:szCs w:val="24"/>
        </w:rPr>
      </w:pPr>
      <w:r>
        <w:rPr>
          <w:rFonts w:ascii="Arial" w:hAnsi="Arial"/>
          <w:sz w:val="24"/>
          <w:szCs w:val="24"/>
        </w:rPr>
        <w:t xml:space="preserve">PROVISORIAMENTE, mediante recibo, para efeito de posterior verificação da conformidade do objeto contratual com as especificações, devendo ser feito por pessoa credenciada pela contratante.</w:t>
      </w:r>
      <w:r/>
    </w:p>
    <w:p>
      <w:pPr>
        <w:numPr>
          <w:ilvl w:val="2"/>
          <w:numId w:val="1"/>
        </w:numPr>
        <w:ind w:left="1985" w:right="49" w:hanging="851"/>
        <w:jc w:val="both"/>
        <w:spacing w:after="120" w:line="360" w:lineRule="auto"/>
        <w:rPr>
          <w:rFonts w:ascii="Arial" w:hAnsi="Arial"/>
          <w:sz w:val="24"/>
          <w:szCs w:val="24"/>
        </w:rPr>
      </w:pPr>
      <w:r>
        <w:rPr>
          <w:rFonts w:ascii="Arial" w:hAnsi="Arial"/>
          <w:sz w:val="24"/>
          <w:szCs w:val="24"/>
        </w:rPr>
        <w:t xml:space="preserve">DEFINITIVAMENTE, sendo expedido termo de recebimento definitivo, após a verificação da qualidade da prestação de serviço, certificando-se de que todas as condições estabel</w:t>
      </w:r>
      <w:r>
        <w:rPr>
          <w:rFonts w:ascii="Arial" w:hAnsi="Arial"/>
          <w:sz w:val="24"/>
          <w:szCs w:val="24"/>
        </w:rPr>
        <w:t xml:space="preserve">ecidas foram atendidas e consequ</w:t>
      </w:r>
      <w:r>
        <w:rPr>
          <w:rFonts w:ascii="Arial" w:hAnsi="Arial"/>
          <w:sz w:val="24"/>
          <w:szCs w:val="24"/>
        </w:rPr>
        <w:t xml:space="preserve">ente aceitação das notas fiscais pelo gestor da contratação, devendo haver rejeição no caso de desconformidade.</w:t>
      </w:r>
      <w:r/>
    </w:p>
    <w:p>
      <w:pPr>
        <w:pStyle w:val="915"/>
        <w:numPr>
          <w:ilvl w:val="1"/>
          <w:numId w:val="1"/>
        </w:numPr>
        <w:contextualSpacing w:val="0"/>
        <w:ind w:left="1134" w:right="49" w:hanging="708"/>
        <w:jc w:val="both"/>
        <w:spacing w:before="57" w:after="57" w:line="360" w:lineRule="auto"/>
        <w:widowControl w:val="off"/>
        <w:rPr>
          <w:rFonts w:ascii="Arial" w:hAnsi="Arial" w:cs="Arial"/>
          <w:sz w:val="24"/>
          <w:szCs w:val="24"/>
        </w:rPr>
      </w:pPr>
      <w:r>
        <w:rPr>
          <w:rFonts w:ascii="Arial" w:hAnsi="Arial" w:cs="Arial" w:eastAsia="Times New Roman"/>
          <w:color w:val="000000"/>
          <w:sz w:val="24"/>
          <w:szCs w:val="24"/>
        </w:rPr>
        <w:t xml:space="preserve">Os atrasos ocasionados por motivo de força maior ou caso fortuito, desde que justificados, até 05 (cinco) dias úteis antes do término do prazo </w:t>
      </w:r>
      <w:r>
        <w:rPr>
          <w:rFonts w:ascii="Arial" w:hAnsi="Arial" w:cs="Arial" w:eastAsia="Times New Roman"/>
          <w:color w:val="000000"/>
          <w:sz w:val="24"/>
          <w:szCs w:val="24"/>
        </w:rPr>
        <w:t xml:space="preserve">da prestação do serviço</w:t>
      </w:r>
      <w:r>
        <w:rPr>
          <w:rFonts w:ascii="Arial" w:hAnsi="Arial" w:cs="Arial" w:eastAsia="Times New Roman"/>
          <w:color w:val="000000"/>
          <w:sz w:val="24"/>
          <w:szCs w:val="24"/>
        </w:rPr>
        <w:t xml:space="preserve">, e aceitos pela contratante, não serão considerados como inadimplemento contratual.</w:t>
      </w:r>
      <w:r/>
    </w:p>
    <w:p>
      <w:pPr>
        <w:pStyle w:val="915"/>
        <w:contextualSpacing w:val="0"/>
        <w:ind w:left="0" w:right="49"/>
        <w:jc w:val="both"/>
        <w:spacing w:before="57" w:after="57" w:line="360" w:lineRule="auto"/>
        <w:widowControl w:val="off"/>
        <w:rPr>
          <w:rFonts w:ascii="Arial" w:hAnsi="Arial" w:cs="Arial"/>
          <w:sz w:val="24"/>
          <w:szCs w:val="24"/>
          <w:highlight w:val="cyan"/>
        </w:rPr>
      </w:pPr>
      <w:r>
        <w:rPr>
          <w:rFonts w:ascii="Arial" w:hAnsi="Arial" w:cs="Arial"/>
          <w:sz w:val="24"/>
          <w:szCs w:val="24"/>
          <w:highlight w:val="cyan"/>
        </w:rPr>
      </w:r>
      <w:r/>
    </w:p>
    <w:p>
      <w:pPr>
        <w:pStyle w:val="107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Solicitar a execução do serviço à CONTRATADA através da emissão da Ordem de Serviço.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Proporcionar à CONTRATADA todas as condições necessárias ao pleno cumprimento das obrigações decorrente do objeto contratual, consoante </w:t>
      </w:r>
      <w:r>
        <w:rPr>
          <w:rFonts w:ascii="Arial" w:hAnsi="Arial" w:cs="Arial" w:eastAsia="Times New Roman"/>
          <w:color w:val="000000"/>
          <w:sz w:val="24"/>
          <w:szCs w:val="24"/>
        </w:rPr>
        <w:t xml:space="preserve">estabelece a Lei Federal Nº 8.666/93 e suas alterações posteriores.</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Fiscalizar a execução do objeto contratual através de sua unidade competente, podendo, em decorrência solicitar providências da CONTRATADA, que atenderá ou justificará de imediato.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Rejeitar os serviços que não atendam aos requisitos constantes das especificações constantes do Termo de Referência.</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Designar servidores do Departamento de Esportes para acompanhar a prestação de serviços para a realização do evento.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Notificar a CONTRATADA, de qualquer irregularidade decorrente da execução do objeto contratual.</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Efetuar os pagamentos devidos a CONTRATADA nas condições estabelecidas neste instrumento.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Indicar a data e horários em que deverão realizar os serviços contratados para a realização do evento.</w:t>
      </w:r>
      <w:r/>
    </w:p>
    <w:p>
      <w:pPr>
        <w:pStyle w:val="915"/>
        <w:numPr>
          <w:ilvl w:val="1"/>
          <w:numId w:val="1"/>
        </w:numPr>
        <w:contextualSpacing w:val="0"/>
        <w:ind w:left="1134" w:right="49" w:hanging="708"/>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t xml:space="preserve">A data e horário para prestação de serviços </w:t>
      </w:r>
      <w:r>
        <w:rPr>
          <w:rFonts w:ascii="Arial" w:hAnsi="Arial" w:cs="Arial" w:eastAsia="Times New Roman"/>
          <w:color w:val="000000"/>
          <w:sz w:val="24"/>
          <w:szCs w:val="24"/>
        </w:rPr>
        <w:t xml:space="preserve">poderão</w:t>
      </w:r>
      <w:r>
        <w:rPr>
          <w:rFonts w:ascii="Arial" w:hAnsi="Arial" w:cs="Arial" w:eastAsia="Times New Roman"/>
          <w:color w:val="000000"/>
          <w:sz w:val="24"/>
          <w:szCs w:val="24"/>
        </w:rPr>
        <w:t xml:space="preserve"> ser agendada previamente com a Secretaria Municipal de Educação, através do telefone: 21 – 2742-8196</w:t>
      </w:r>
      <w:r>
        <w:rPr>
          <w:rFonts w:ascii="Arial" w:hAnsi="Arial" w:cs="Arial" w:eastAsia="Times New Roman"/>
          <w:color w:val="000000"/>
          <w:sz w:val="24"/>
          <w:szCs w:val="24"/>
        </w:rPr>
        <w:t xml:space="preserve">.</w:t>
      </w:r>
      <w:r/>
    </w:p>
    <w:p>
      <w:pPr>
        <w:pStyle w:val="915"/>
        <w:contextualSpacing w:val="0"/>
        <w:ind w:left="1134" w:right="49"/>
        <w:jc w:val="both"/>
        <w:spacing w:before="57" w:after="57" w:line="360" w:lineRule="auto"/>
        <w:widowControl w:val="off"/>
        <w:rPr>
          <w:rFonts w:ascii="Arial" w:hAnsi="Arial" w:cs="Arial" w:eastAsia="Times New Roman"/>
          <w:color w:val="000000"/>
          <w:sz w:val="24"/>
          <w:szCs w:val="24"/>
        </w:rPr>
      </w:pPr>
      <w:r>
        <w:rPr>
          <w:rFonts w:ascii="Arial" w:hAnsi="Arial" w:cs="Arial" w:eastAsia="Times New Roman"/>
          <w:color w:val="000000"/>
          <w:sz w:val="24"/>
          <w:szCs w:val="24"/>
        </w:rPr>
      </w:r>
      <w:r/>
    </w:p>
    <w:p>
      <w:pPr>
        <w:pStyle w:val="915"/>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Executar o objeto observando rigorosamente o cumprimento das responsabilidades, encargos, prazos e especificações técnicas e em conformidade com as condições do edital e seus anexos, do contrato e das demais cominações legais.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Dar início à execução dos serviços contratados conforme especificação estabelecida neste Termo de Referência, quando solicitado, no prazo máximo de </w:t>
      </w:r>
      <w:r>
        <w:rPr>
          <w:rFonts w:ascii="Arial" w:hAnsi="Arial" w:cs="Arial"/>
          <w:bCs/>
          <w:sz w:val="24"/>
          <w:szCs w:val="24"/>
        </w:rPr>
        <w:t xml:space="preserve">02</w:t>
      </w:r>
      <w:r>
        <w:rPr>
          <w:rFonts w:ascii="Arial" w:hAnsi="Arial" w:cs="Arial"/>
          <w:bCs/>
          <w:sz w:val="24"/>
          <w:szCs w:val="24"/>
        </w:rPr>
        <w:t xml:space="preserve"> (</w:t>
      </w:r>
      <w:r>
        <w:rPr>
          <w:rFonts w:ascii="Arial" w:hAnsi="Arial" w:cs="Arial"/>
          <w:bCs/>
          <w:sz w:val="24"/>
          <w:szCs w:val="24"/>
        </w:rPr>
        <w:t xml:space="preserve">dois</w:t>
      </w:r>
      <w:r>
        <w:rPr>
          <w:rFonts w:ascii="Arial" w:hAnsi="Arial" w:cs="Arial"/>
          <w:bCs/>
          <w:sz w:val="24"/>
          <w:szCs w:val="24"/>
        </w:rPr>
        <w:t xml:space="preserve">) dias,</w:t>
      </w:r>
      <w:r>
        <w:rPr>
          <w:rFonts w:ascii="Arial" w:hAnsi="Arial" w:cs="Arial"/>
          <w:bCs/>
          <w:sz w:val="24"/>
          <w:szCs w:val="24"/>
        </w:rPr>
        <w:t xml:space="preserve"> a contar da data de da Ordem de Serviço expedida pela CONTRATANTE e enviada através de endereço eletrônico.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prestar os serviços Contratados nos locais determinados pela CONTRATANTE.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Substituir o colaborador na execução do servi</w:t>
      </w:r>
      <w:r>
        <w:rPr>
          <w:rFonts w:ascii="Arial" w:hAnsi="Arial" w:cs="Arial"/>
          <w:bCs/>
          <w:sz w:val="24"/>
          <w:szCs w:val="24"/>
        </w:rPr>
        <w:t xml:space="preserve">ço contratado que comprovadamente não apresente condições de realizar a prestação de serviço ou em desconformidades com as especificações deste termo e padrões de qualidade exigidos, no prazo de 1 hora antes do início do evento contados da sua notificação.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Cientificar, por escrito, dentro do prazo de 48 horas a fiscalização da CONTRATANTE quaisquer ocorrência an</w:t>
      </w:r>
      <w:r>
        <w:rPr>
          <w:rFonts w:ascii="Arial" w:hAnsi="Arial" w:cs="Arial"/>
          <w:bCs/>
          <w:sz w:val="24"/>
          <w:szCs w:val="24"/>
        </w:rPr>
        <w:t xml:space="preserve">ormal verificada na execução da</w:t>
      </w:r>
      <w:r>
        <w:rPr>
          <w:rFonts w:ascii="Arial" w:hAnsi="Arial" w:cs="Arial"/>
          <w:bCs/>
          <w:sz w:val="24"/>
          <w:szCs w:val="24"/>
        </w:rPr>
        <w:t xml:space="preserve"> </w:t>
      </w:r>
      <w:r>
        <w:rPr>
          <w:rFonts w:ascii="Arial" w:hAnsi="Arial" w:cs="Arial"/>
          <w:bCs/>
          <w:sz w:val="24"/>
          <w:szCs w:val="24"/>
        </w:rPr>
        <w:t xml:space="preserve">prestação dos serviços</w:t>
      </w:r>
      <w:r>
        <w:rPr>
          <w:rFonts w:ascii="Arial" w:hAnsi="Arial" w:cs="Arial"/>
          <w:bCs/>
          <w:sz w:val="24"/>
          <w:szCs w:val="24"/>
        </w:rPr>
        <w:t xml:space="preserve">, independentemente da comunicação verbal, sob pena de multa.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Prestar imediatamente as informações e os esclarecimentos que venham a ser solicitados pela CONTRATANTE, salvo quando implicarem as indagações de caráter técnico, hipótese em que serão respondidas no prazo de 48 (vinte e quatro) horas.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não poderá subcontratar, ceder ou transferir o Objeto do Contrato, no todo ou em parte a terceiros, sem anuência da CONTRATANTE, sob pena de rescisão</w:t>
      </w:r>
      <w:r>
        <w:rPr>
          <w:rFonts w:ascii="Arial" w:hAnsi="Arial" w:cs="Arial"/>
          <w:bCs/>
          <w:sz w:val="24"/>
          <w:szCs w:val="24"/>
        </w:rPr>
        <w:t xml:space="preserv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Cumprir, quando for o caso, as condições de garantia do objeto, responsabilizando- se pelo período oferecido em sua proposta comercial, observando o prazo mínimo exigido pela administração.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Providenciar a substituição de qualquer profissional envolvido na execução do objeto contratual, cuja conduta seja considerada indesejável pela fiscalização da CONTRATANTE.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Responder por todas as despesas diretas e indiretas que inci</w:t>
      </w:r>
      <w:r>
        <w:rPr>
          <w:rFonts w:ascii="Arial" w:hAnsi="Arial" w:cs="Arial"/>
          <w:bCs/>
          <w:sz w:val="24"/>
          <w:szCs w:val="24"/>
        </w:rPr>
        <w:t xml:space="preserve">dam ou venham a incidir sobre a execução contratual, inclusive as obrigações relativas a salários, pagamentos de recursos humanos, Previdência Social, impostos, encargos sociais, transporte e outras providências, respondendo obrigatoriamente pelo fiel cump</w:t>
      </w:r>
      <w:r>
        <w:rPr>
          <w:rFonts w:ascii="Arial" w:hAnsi="Arial" w:cs="Arial"/>
          <w:bCs/>
          <w:sz w:val="24"/>
          <w:szCs w:val="24"/>
        </w:rPr>
        <w:t xml:space="preserve">rimento das leis trabalhistas e especificas de acidente de trabalho e legislação correlata, aplicáveis ao pessoal empregado na execução contratual, previdenciários e de ordem de classe, indenizações e quaisquer outras que forem devidas aos seus empregados </w:t>
      </w:r>
      <w:r>
        <w:rPr>
          <w:rFonts w:ascii="Arial" w:hAnsi="Arial" w:cs="Arial"/>
          <w:bCs/>
          <w:sz w:val="24"/>
          <w:szCs w:val="24"/>
        </w:rPr>
        <w:t xml:space="preserve">no desempenho dos serviços objeto do contrato, ficando a CONTRATANTE isentam de qualquer vínculo empregatício com os mesmos.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Apresentar, no momento da contratação, documentação de experiência em competições a nível regional ou superior. </w:t>
      </w:r>
      <w:r/>
    </w:p>
    <w:p>
      <w:pPr>
        <w:jc w:val="both"/>
        <w:spacing w:before="57" w:after="57" w:line="360" w:lineRule="auto"/>
        <w:tabs>
          <w:tab w:val="left" w:pos="1134" w:leader="none"/>
        </w:tabs>
        <w:rPr>
          <w:rFonts w:ascii="Arial" w:hAnsi="Arial"/>
          <w:sz w:val="24"/>
          <w:szCs w:val="24"/>
          <w:highlight w:val="yellow"/>
        </w:rPr>
      </w:pPr>
      <w:r>
        <w:rPr>
          <w:rFonts w:ascii="Arial" w:hAnsi="Arial"/>
          <w:sz w:val="24"/>
          <w:szCs w:val="24"/>
          <w:highlight w:val="yellow"/>
        </w:rPr>
      </w:r>
      <w:r/>
    </w:p>
    <w:p>
      <w:pPr>
        <w:pStyle w:val="107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91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Nos termos do art. 67 Lei nº 8.666, de 1993, será designado representante para acompanhar e fiscalizar a entrega do material,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rPr>
          <w:rFonts w:ascii="Arial" w:hAnsi="Arial" w:cs="Arial"/>
          <w:sz w:val="24"/>
          <w:szCs w:val="24"/>
        </w:rPr>
        <w:t xml:space="preserve">.</w:t>
      </w:r>
      <w:r/>
    </w:p>
    <w:p>
      <w:pPr>
        <w:pStyle w:val="91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A</w:t>
      </w:r>
      <w:r>
        <w:rPr>
          <w:rFonts w:ascii="Arial" w:hAnsi="Arial" w:cs="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915"/>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cs="Arial"/>
          <w:sz w:val="24"/>
          <w:szCs w:val="24"/>
        </w:rPr>
        <w:t xml:space="preserve">O fiscal nomeado pela </w:t>
      </w:r>
      <w:r>
        <w:rPr>
          <w:rFonts w:ascii="Arial" w:hAnsi="Arial" w:cs="Arial"/>
          <w:sz w:val="24"/>
          <w:szCs w:val="24"/>
        </w:rPr>
        <w:t xml:space="preserve">Secretaria Municipal de Educação</w:t>
      </w:r>
      <w:r>
        <w:rPr>
          <w:rFonts w:ascii="Arial" w:hAnsi="Arial" w:cs="Arial"/>
          <w:sz w:val="24"/>
          <w:szCs w:val="24"/>
        </w:rPr>
        <w:t xml:space="preserve"> 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915"/>
        <w:contextualSpacing w:val="0"/>
        <w:ind w:left="1134" w:right="49"/>
        <w:jc w:val="both"/>
        <w:spacing w:before="57" w:after="57" w:line="360" w:lineRule="auto"/>
        <w:widowControl w:val="off"/>
        <w:tabs>
          <w:tab w:val="left" w:pos="1134" w:leader="none"/>
        </w:tabs>
        <w:rPr>
          <w:rFonts w:ascii="Arial" w:hAnsi="Arial"/>
          <w:sz w:val="24"/>
          <w:szCs w:val="24"/>
        </w:rPr>
      </w:pPr>
      <w:r>
        <w:rPr>
          <w:rFonts w:ascii="Arial" w:hAnsi="Arial"/>
          <w:sz w:val="24"/>
          <w:szCs w:val="24"/>
        </w:rPr>
      </w:r>
      <w:r/>
    </w:p>
    <w:p>
      <w:pPr>
        <w:pStyle w:val="1073"/>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915"/>
        <w:numPr>
          <w:ilvl w:val="1"/>
          <w:numId w:val="1"/>
        </w:numPr>
        <w:contextualSpacing w:val="0"/>
        <w:ind w:left="1134" w:right="49" w:hanging="708"/>
        <w:jc w:val="both"/>
        <w:spacing w:before="57" w:after="57" w:line="360" w:lineRule="auto"/>
        <w:widowControl w:val="off"/>
        <w:tabs>
          <w:tab w:val="left" w:pos="1134" w:leader="none"/>
        </w:tabs>
        <w:rPr>
          <w:rFonts w:ascii="Arial" w:hAnsi="Arial" w:cs="Arial" w:eastAsia="Arial"/>
          <w:sz w:val="24"/>
          <w:szCs w:val="24"/>
        </w:rPr>
      </w:pPr>
      <w:r>
        <w:rPr>
          <w:rFonts w:ascii="Arial" w:hAnsi="Arial" w:cs="Arial" w:eastAsia="Arial"/>
          <w:sz w:val="24"/>
          <w:szCs w:val="24"/>
        </w:rPr>
        <w:t xml:space="preserve">O pagamento será efetuado </w:t>
      </w:r>
      <w:r>
        <w:rPr>
          <w:rFonts w:ascii="Arial" w:hAnsi="Arial" w:cs="Arial" w:eastAsia="Arial"/>
          <w:sz w:val="24"/>
          <w:szCs w:val="24"/>
        </w:rPr>
        <w:t xml:space="preserve">à medida que os serviços forem solicitados, conforme as necessidades da Contratante,</w:t>
      </w:r>
      <w:r>
        <w:rPr>
          <w:rFonts w:ascii="Arial" w:hAnsi="Arial" w:cs="Arial" w:eastAsia="Arial"/>
          <w:sz w:val="24"/>
          <w:szCs w:val="24"/>
        </w:rPr>
        <w:t xml:space="preserve"> </w:t>
      </w:r>
      <w:r>
        <w:rPr>
          <w:rFonts w:ascii="Arial" w:hAnsi="Arial" w:cs="Arial" w:eastAsia="Arial"/>
          <w:sz w:val="24"/>
          <w:szCs w:val="24"/>
        </w:rPr>
        <w:t xml:space="preserve">no prazo máximo de até 30 (trinta) dias após a </w:t>
      </w:r>
      <w:r>
        <w:rPr>
          <w:rFonts w:ascii="Arial" w:hAnsi="Arial" w:cs="Arial" w:eastAsia="Arial"/>
          <w:sz w:val="24"/>
          <w:szCs w:val="24"/>
        </w:rPr>
        <w:t xml:space="preserve">prestação de serviços</w:t>
      </w:r>
      <w:r>
        <w:rPr>
          <w:rFonts w:ascii="Arial" w:hAnsi="Arial" w:cs="Arial" w:eastAsia="Arial"/>
          <w:sz w:val="24"/>
          <w:szCs w:val="24"/>
        </w:rPr>
        <w:t xml:space="preserve">, mediante apresentação de documento de cobrança da contratada, que deverá conter o detalhamento do material, devendo a contratada apresentar no Protocolo Geral da </w:t>
      </w:r>
      <w:r>
        <w:rPr>
          <w:rFonts w:ascii="Arial" w:hAnsi="Arial" w:cs="Arial" w:eastAsia="Arial"/>
          <w:sz w:val="24"/>
          <w:szCs w:val="24"/>
        </w:rPr>
        <w:t xml:space="preserve">Prefeitura Municipal de Teresópolis/RJ, a nota de Empenho, Cópia do Contrato, juntamente com a documentação exigida nos itens subsequentes.</w:t>
      </w:r>
      <w:r/>
    </w:p>
    <w:p>
      <w:pPr>
        <w:numPr>
          <w:ilvl w:val="1"/>
          <w:numId w:val="1"/>
        </w:numPr>
        <w:ind w:left="1134" w:hanging="708"/>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2"/>
          <w:numId w:val="1"/>
        </w:numPr>
        <w:ind w:left="1985" w:right="49" w:hanging="851"/>
        <w:jc w:val="both"/>
        <w:spacing w:after="120" w:line="360" w:lineRule="auto"/>
        <w:rPr>
          <w:rFonts w:ascii="Arial" w:hAnsi="Arial" w:cs="Arial" w:eastAsia="Arial"/>
          <w:sz w:val="24"/>
          <w:szCs w:val="24"/>
        </w:rPr>
      </w:pPr>
      <w:r>
        <w:rPr>
          <w:rFonts w:ascii="Arial" w:hAnsi="Arial" w:cs="Arial" w:eastAsia="Arial"/>
          <w:sz w:val="24"/>
          <w:szCs w:val="24"/>
        </w:rPr>
        <w:t xml:space="preserve">A abertura do processo de pagamento poderá ser realizada forma digital, através do link: teresopolis.eloweb.net/protocolo, devendo constar toda documentação elencada no item </w:t>
      </w:r>
      <w:r>
        <w:rPr>
          <w:rFonts w:ascii="Arial" w:hAnsi="Arial" w:cs="Arial" w:eastAsia="Arial"/>
          <w:b/>
          <w:bCs/>
          <w:sz w:val="24"/>
          <w:szCs w:val="24"/>
        </w:rPr>
        <w:t xml:space="preserve">2</w:t>
      </w:r>
      <w:r>
        <w:rPr>
          <w:rFonts w:ascii="Arial" w:hAnsi="Arial" w:cs="Arial" w:eastAsia="Arial"/>
          <w:b/>
          <w:bCs/>
          <w:sz w:val="24"/>
          <w:szCs w:val="24"/>
        </w:rPr>
        <w:t xml:space="preserve">1</w:t>
      </w:r>
      <w:r>
        <w:rPr>
          <w:rFonts w:ascii="Arial" w:hAnsi="Arial" w:cs="Arial" w:eastAsia="Arial"/>
          <w:b/>
          <w:bCs/>
          <w:sz w:val="24"/>
          <w:szCs w:val="24"/>
        </w:rPr>
        <w:t xml:space="preserve">.1.</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SICAF,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w:t>
      </w:r>
      <w:r>
        <w:rPr>
          <w:rFonts w:ascii="Arial" w:hAnsi="Arial" w:cs="Arial"/>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102"/>
        <w:ind w:left="1134" w:right="49"/>
        <w:jc w:val="both"/>
        <w:spacing w:line="360" w:lineRule="auto"/>
        <w:rPr>
          <w:sz w:val="24"/>
          <w:szCs w:val="24"/>
        </w:rPr>
      </w:pPr>
      <w:r>
        <w:rPr>
          <w:sz w:val="24"/>
          <w:szCs w:val="24"/>
        </w:rPr>
        <w:t xml:space="preserve">I = Índice de compensação financeira = 0,00016438, assim apurado:</w:t>
      </w:r>
      <w:r/>
    </w:p>
    <w:p>
      <w:pPr>
        <w:pStyle w:val="1102"/>
        <w:ind w:left="1134" w:right="49"/>
        <w:jc w:val="both"/>
        <w:spacing w:line="276" w:lineRule="auto"/>
        <w:rPr>
          <w:sz w:val="24"/>
          <w:szCs w:val="24"/>
        </w:rPr>
      </w:pPr>
      <w:r>
        <w:rPr>
          <w:sz w:val="24"/>
          <w:szCs w:val="24"/>
        </w:rPr>
      </w:r>
      <w:r/>
    </w:p>
    <w:tbl>
      <w:tblPr>
        <w:tblW w:w="8164" w:type="dxa"/>
        <w:tblInd w:w="920"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04"/>
              <w:ind w:left="200" w:right="49"/>
              <w:jc w:val="both"/>
              <w:rPr>
                <w:rFonts w:ascii="Arial" w:hAnsi="Arial" w:cs="Arial"/>
                <w:sz w:val="24"/>
                <w:szCs w:val="24"/>
              </w:rPr>
            </w:pPr>
            <w:r>
              <w:rPr>
                <w:rFonts w:ascii="Arial" w:hAnsi="Arial" w:cs="Arial"/>
                <w:sz w:val="24"/>
                <w:szCs w:val="24"/>
              </w:rPr>
              <w:t xml:space="preserve">I = (TX)</w:t>
            </w:r>
            <w:r/>
          </w:p>
        </w:tc>
        <w:tc>
          <w:tcPr>
            <w:shd w:val="clear" w:color="auto" w:fill="auto"/>
            <w:tcW w:w="940" w:type="dxa"/>
            <w:textDirection w:val="lrTb"/>
            <w:noWrap w:val="false"/>
          </w:tcPr>
          <w:p>
            <w:pPr>
              <w:pStyle w:val="1104"/>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04"/>
              <w:ind w:right="49"/>
              <w:jc w:val="both"/>
              <w:rPr>
                <w:rFonts w:ascii="Arial" w:hAnsi="Arial" w:cs="Arial"/>
                <w:sz w:val="24"/>
                <w:szCs w:val="24"/>
              </w:rPr>
            </w:pPr>
            <w:r>
              <w:rPr>
                <w:rFonts w:ascii="Arial" w:hAnsi="Arial" w:cs="Arial"/>
                <w:sz w:val="24"/>
                <w:szCs w:val="24"/>
              </w:rPr>
              <w:t xml:space="preserve">( 6 / 100 )</w:t>
            </w:r>
            <w:r/>
          </w:p>
          <w:p>
            <w:pPr>
              <w:pStyle w:val="1104"/>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04"/>
              <w:ind w:left="533" w:right="49"/>
              <w:jc w:val="both"/>
              <w:rPr>
                <w:rFonts w:ascii="Arial" w:hAnsi="Arial" w:cs="Arial"/>
                <w:sz w:val="24"/>
                <w:szCs w:val="24"/>
              </w:rPr>
            </w:pPr>
            <w:r>
              <w:rPr>
                <w:rFonts w:ascii="Arial" w:hAnsi="Arial" w:cs="Arial"/>
                <w:sz w:val="24"/>
                <w:szCs w:val="24"/>
              </w:rPr>
            </w:r>
            <w:r/>
          </w:p>
          <w:p>
            <w:pPr>
              <w:pStyle w:val="1104"/>
              <w:ind w:left="533" w:right="49"/>
              <w:jc w:val="both"/>
              <w:rPr>
                <w:rFonts w:ascii="Arial" w:hAnsi="Arial" w:cs="Arial"/>
                <w:sz w:val="24"/>
                <w:szCs w:val="24"/>
              </w:rPr>
            </w:pPr>
            <w:r>
              <w:rPr>
                <w:rFonts w:ascii="Arial" w:hAnsi="Arial" w:cs="Arial"/>
                <w:sz w:val="24"/>
                <w:szCs w:val="24"/>
              </w:rPr>
              <w:t xml:space="preserve">I = 0,00016438</w:t>
            </w:r>
            <w:r/>
          </w:p>
          <w:p>
            <w:pPr>
              <w:pStyle w:val="1104"/>
              <w:ind w:left="533" w:right="49"/>
              <w:jc w:val="both"/>
              <w:rPr>
                <w:rFonts w:ascii="Arial" w:hAnsi="Arial" w:cs="Arial"/>
                <w:sz w:val="24"/>
                <w:szCs w:val="24"/>
              </w:rPr>
            </w:pPr>
            <w:r>
              <w:rPr>
                <w:rFonts w:ascii="Arial" w:hAnsi="Arial" w:cs="Arial"/>
                <w:sz w:val="24"/>
                <w:szCs w:val="24"/>
              </w:rPr>
            </w:r>
            <w:r/>
          </w:p>
          <w:p>
            <w:pPr>
              <w:pStyle w:val="1104"/>
              <w:ind w:left="533" w:right="49"/>
              <w:jc w:val="both"/>
              <w:rPr>
                <w:rFonts w:ascii="Arial" w:hAnsi="Arial" w:cs="Arial"/>
                <w:sz w:val="24"/>
                <w:szCs w:val="24"/>
              </w:rPr>
            </w:pPr>
            <w:r>
              <w:rPr>
                <w:rFonts w:ascii="Arial" w:hAnsi="Arial" w:cs="Arial"/>
                <w:sz w:val="24"/>
                <w:szCs w:val="24"/>
              </w:rPr>
              <w:t xml:space="preserve">TX = Percentual da taxa anual = 6%</w:t>
            </w:r>
            <w:r/>
          </w:p>
          <w:p>
            <w:pPr>
              <w:pStyle w:val="1104"/>
              <w:ind w:left="533" w:right="49"/>
              <w:jc w:val="both"/>
              <w:rPr>
                <w:rFonts w:ascii="Arial" w:hAnsi="Arial" w:cs="Arial"/>
                <w:sz w:val="24"/>
                <w:szCs w:val="24"/>
              </w:rPr>
            </w:pPr>
            <w:r>
              <w:rPr>
                <w:rFonts w:ascii="Arial" w:hAnsi="Arial" w:cs="Arial"/>
                <w:sz w:val="24"/>
                <w:szCs w:val="24"/>
              </w:rPr>
            </w:r>
            <w:r/>
          </w:p>
          <w:p>
            <w:pPr>
              <w:pStyle w:val="1104"/>
              <w:ind w:left="533" w:right="49"/>
              <w:jc w:val="both"/>
              <w:rPr>
                <w:rFonts w:ascii="Arial" w:hAnsi="Arial" w:cs="Arial"/>
                <w:sz w:val="24"/>
                <w:szCs w:val="24"/>
              </w:rPr>
            </w:pPr>
            <w:r>
              <w:rPr>
                <w:rFonts w:ascii="Arial" w:hAnsi="Arial" w:cs="Arial"/>
                <w:sz w:val="24"/>
                <w:szCs w:val="24"/>
              </w:rPr>
              <w:t xml:space="preserve">365</w:t>
            </w:r>
            <w:r/>
          </w:p>
          <w:p>
            <w:pPr>
              <w:pStyle w:val="1104"/>
              <w:ind w:left="533" w:right="49"/>
              <w:jc w:val="both"/>
              <w:rPr>
                <w:rFonts w:ascii="Arial" w:hAnsi="Arial" w:cs="Arial"/>
                <w:sz w:val="24"/>
                <w:szCs w:val="24"/>
              </w:rPr>
            </w:pPr>
            <w:r>
              <w:rPr>
                <w:rFonts w:ascii="Arial" w:hAnsi="Arial" w:cs="Arial"/>
                <w:sz w:val="24"/>
                <w:szCs w:val="24"/>
              </w:rPr>
            </w:r>
            <w:r/>
          </w:p>
        </w:tc>
      </w:tr>
    </w:tbl>
    <w:p>
      <w:pPr>
        <w:pStyle w:val="1073"/>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15"/>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apresentar amostras, quando solicitadas.</w:t>
      </w:r>
      <w:r/>
    </w:p>
    <w:p>
      <w:pPr>
        <w:pStyle w:val="915"/>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1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w:t>
      </w:r>
      <w:r>
        <w:rPr>
          <w:rFonts w:ascii="Arial" w:hAnsi="Arial" w:eastAsia="Arial"/>
          <w:sz w:val="24"/>
          <w:szCs w:val="24"/>
        </w:rPr>
        <w:t xml:space="preserve">5</w:t>
      </w:r>
      <w:r>
        <w:rPr>
          <w:rFonts w:ascii="Arial" w:hAnsi="Arial" w:eastAsia="Arial"/>
          <w:sz w:val="24"/>
          <w:szCs w:val="24"/>
        </w:rPr>
        <w:t xml:space="preserve">%</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1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w:t>
      </w:r>
      <w:r/>
    </w:p>
    <w:p>
      <w:pPr>
        <w:pStyle w:val="915"/>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15"/>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de 10% (dez por cento) pela recursa de assinar o contrato ou de retirar instrumento equivalente.</w:t>
      </w:r>
      <w:r/>
    </w:p>
    <w:p>
      <w:pPr>
        <w:pStyle w:val="915"/>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este não apresente amostras, quando solicitadas.</w:t>
      </w:r>
      <w:r/>
    </w:p>
    <w:p>
      <w:pPr>
        <w:pStyle w:val="915"/>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15"/>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91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1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eastAsia="Arial"/>
          <w:sz w:val="24"/>
          <w:szCs w:val="24"/>
        </w:rPr>
        <w:t xml:space="preserve"> úteis</w:t>
      </w:r>
      <w:r>
        <w:rPr>
          <w:rFonts w:ascii="Arial" w:hAnsi="Arial" w:eastAsia="Arial"/>
          <w:sz w:val="24"/>
          <w:szCs w:val="24"/>
        </w:rPr>
        <w:t xml:space="preserve">;</w:t>
      </w:r>
      <w:r/>
    </w:p>
    <w:p>
      <w:pPr>
        <w:pStyle w:val="915"/>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
          <w:bCs/>
          <w:sz w:val="24"/>
          <w:szCs w:val="24"/>
        </w:rPr>
        <w:t xml:space="preserve">2</w:t>
      </w:r>
      <w:r>
        <w:rPr>
          <w:rFonts w:ascii="Arial" w:hAnsi="Arial" w:eastAsia="Arial"/>
          <w:b/>
          <w:bCs/>
          <w:sz w:val="24"/>
          <w:szCs w:val="24"/>
        </w:rPr>
        <w:t xml:space="preserve">2</w:t>
      </w:r>
      <w:r>
        <w:rPr>
          <w:rFonts w:ascii="Arial" w:hAnsi="Arial" w:eastAsia="Arial"/>
          <w:b/>
          <w:bCs/>
          <w:sz w:val="24"/>
          <w:szCs w:val="24"/>
        </w:rPr>
        <w:t xml:space="preserve">.4</w:t>
      </w:r>
      <w:r>
        <w:rPr>
          <w:rFonts w:ascii="Arial" w:hAnsi="Arial" w:eastAsia="Arial"/>
          <w:b/>
          <w:bCs/>
          <w:sz w:val="24"/>
          <w:szCs w:val="24"/>
        </w:rPr>
        <w:t xml:space="preserve">.1</w:t>
      </w:r>
      <w:r>
        <w:rPr>
          <w:rFonts w:ascii="Arial" w:hAnsi="Arial" w:eastAsia="Arial"/>
          <w:sz w:val="24"/>
          <w:szCs w:val="24"/>
        </w:rPr>
        <w:t xml:space="preserve">,</w:t>
      </w:r>
      <w:r>
        <w:rPr>
          <w:rFonts w:ascii="Arial" w:hAnsi="Arial" w:eastAsia="Arial"/>
          <w:sz w:val="24"/>
          <w:szCs w:val="24"/>
        </w:rPr>
        <w:t xml:space="preserve"> sendo certo que terá outros 5 (cinco) dias úteis para apresentação de recurso à autoridade máxima, que decidirá no prazo máximo de 30 (trinta) dias.</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SICAF. </w:t>
      </w:r>
      <w:r/>
    </w:p>
    <w:p>
      <w:pPr>
        <w:pStyle w:val="915"/>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1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15"/>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 ao processo judicial de execução.</w:t>
      </w:r>
      <w:r/>
    </w:p>
    <w:p>
      <w:pPr>
        <w:pStyle w:val="915"/>
        <w:contextualSpacing w:val="0"/>
        <w:ind w:left="1134"/>
        <w:jc w:val="both"/>
        <w:spacing w:before="6" w:after="6" w:line="360" w:lineRule="auto"/>
        <w:rPr>
          <w:rFonts w:ascii="Arial" w:hAnsi="Arial" w:eastAsia="Arial"/>
          <w:sz w:val="24"/>
          <w:szCs w:val="24"/>
        </w:rPr>
      </w:pPr>
      <w:r>
        <w:rPr>
          <w:rFonts w:ascii="Arial" w:hAnsi="Arial" w:eastAsia="Arial"/>
          <w:sz w:val="24"/>
          <w:szCs w:val="24"/>
        </w:rPr>
      </w:r>
      <w:bookmarkEnd w:id="2"/>
      <w:r/>
      <w:r/>
    </w:p>
    <w:p>
      <w:pPr>
        <w:pStyle w:val="108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w:t>
      </w:r>
      <w:hyperlink r:id="rId20" w:tooltip="file:///C:\Users\OEM\Downloads\ok\D.S.L\Usuário\Downloads\licitacao.impugnacao@teresopolis.rj.gov.br" w:history="1">
        <w:r>
          <w:rPr>
            <w:rStyle w:val="1086"/>
            <w:rFonts w:ascii="Arial" w:hAnsi="Arial"/>
            <w:color w:val="000000"/>
            <w:sz w:val="24"/>
            <w:szCs w:val="24"/>
          </w:rPr>
          <w:t xml:space="preserve">licitacao.impugnacao@teresopolis.rj.gov.br</w:t>
        </w:r>
      </w:hyperlink>
      <w:r>
        <w:rPr>
          <w:rFonts w:ascii="Arial" w:hAnsi="Arial"/>
          <w:sz w:val="24"/>
          <w:szCs w:val="24"/>
        </w:rPr>
        <w:t xml:space="preserve">, ou por petição dirigida ou protocolada no Protocolo Geral do Município, Avenida Feliciano Sodré, 675, Várzea, Teresópolis/RJ.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pStyle w:val="1087"/>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3"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w:t>
      </w:r>
      <w:r>
        <w:rPr>
          <w:rFonts w:ascii="Arial" w:hAnsi="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w:t>
      </w:r>
      <w:r>
        <w:rPr>
          <w:rFonts w:ascii="Arial" w:hAnsi="Arial"/>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108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w:t>
      </w:r>
      <w:r>
        <w:rPr>
          <w:rFonts w:ascii="Arial" w:hAnsi="Arial"/>
          <w:sz w:val="24"/>
          <w:szCs w:val="24"/>
        </w:rPr>
        <w:t xml:space="preserve"> contratações posteriores à assinatura da ata, deverão ser formalizados no setor de protocolo geral da Prefeitura de Teresópolis, localizado na Avenida Feliciano Sodré, 675, Várzea – Teresópolis, inclusive os de reequilíbrio, cancelamento e troca de marca.</w:t>
      </w:r>
      <w:r/>
    </w:p>
    <w:p>
      <w:pPr>
        <w:pStyle w:val="1087"/>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 fornecimento estão dispostas no Termo de Referência- Anexo I. </w:t>
      </w:r>
      <w:r/>
    </w:p>
    <w:p>
      <w:pPr>
        <w:pStyle w:val="1087"/>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087"/>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IV</w:t>
      </w:r>
      <w:r>
        <w:rPr>
          <w:rFonts w:ascii="Arial" w:hAnsi="Arial" w:eastAsia="Arial"/>
          <w:sz w:val="24"/>
          <w:szCs w:val="24"/>
        </w:rPr>
        <w:tab/>
        <w:t xml:space="preserve">Minuta do contrato.</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 Modelo de declaração conjunta sobre funcionário inelegível, prazo de entrega e do Artigo 88 da Lei Orgânica Municipal.</w:t>
      </w:r>
      <w:r/>
    </w:p>
    <w:p>
      <w:pPr>
        <w:pStyle w:val="1087"/>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VI Minuta da Ata de Registro de Preços.</w:t>
      </w:r>
      <w:r/>
    </w:p>
    <w:p>
      <w:pPr>
        <w:pStyle w:val="1087"/>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087"/>
        <w:jc w:val="center"/>
        <w:spacing w:before="57" w:after="57" w:line="276" w:lineRule="auto"/>
        <w:rPr>
          <w:rFonts w:ascii="Arial" w:hAnsi="Arial" w:eastAsia="Arial"/>
          <w:b/>
          <w:sz w:val="24"/>
          <w:szCs w:val="24"/>
        </w:rPr>
      </w:pPr>
      <w:r>
        <w:rPr>
          <w:rFonts w:ascii="Arial" w:hAnsi="Arial" w:eastAsia="Arial"/>
          <w:b/>
          <w:sz w:val="24"/>
          <w:szCs w:val="24"/>
        </w:rPr>
        <w:t xml:space="preserve">Teresópolis, 24 de junho de 2022.</w:t>
      </w:r>
      <w:r/>
    </w:p>
    <w:p>
      <w:pPr>
        <w:pStyle w:val="926"/>
        <w:jc w:val="center"/>
        <w:spacing w:before="57" w:after="57" w:line="276" w:lineRule="auto"/>
        <w:tabs>
          <w:tab w:val="right" w:pos="8080" w:leader="none"/>
        </w:tabs>
        <w:rPr>
          <w:rFonts w:ascii="Arial" w:hAnsi="Arial"/>
          <w:b/>
          <w:sz w:val="24"/>
          <w:szCs w:val="24"/>
        </w:rPr>
      </w:pPr>
      <w:r>
        <w:rPr>
          <w:rFonts w:ascii="Arial" w:hAnsi="Arial"/>
          <w:b/>
          <w:sz w:val="24"/>
          <w:szCs w:val="24"/>
        </w:rPr>
      </w:r>
      <w:r/>
    </w:p>
    <w:p>
      <w:pPr>
        <w:pStyle w:val="9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w:t>
      </w:r>
      <w:r>
        <w:rPr>
          <w:rFonts w:ascii="Arial" w:hAnsi="Arial"/>
          <w:b/>
          <w:iCs/>
          <w:color w:val="000000"/>
          <w:sz w:val="24"/>
          <w:szCs w:val="24"/>
        </w:rPr>
        <w:t xml:space="preserve"> de Sequeira Santos</w:t>
      </w:r>
      <w:r/>
    </w:p>
    <w:p>
      <w:pPr>
        <w:pStyle w:val="926"/>
        <w:jc w:val="center"/>
        <w:spacing w:before="57" w:after="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Secretá</w:t>
      </w:r>
      <w:r>
        <w:rPr>
          <w:rFonts w:ascii="Arial" w:hAnsi="Arial"/>
          <w:b/>
          <w:iCs/>
          <w:color w:val="000000"/>
          <w:sz w:val="24"/>
          <w:szCs w:val="24"/>
        </w:rPr>
        <w:t xml:space="preserve">ria Municipal de Educação</w:t>
      </w:r>
      <w:r/>
    </w:p>
    <w:p>
      <w:pPr>
        <w:pStyle w:val="926"/>
        <w:jc w:val="center"/>
        <w:spacing w:before="57" w:after="57" w:line="276" w:lineRule="auto"/>
        <w:tabs>
          <w:tab w:val="right" w:pos="8080" w:leader="none"/>
        </w:tabs>
        <w:rPr>
          <w:rFonts w:ascii="Arial" w:hAnsi="Arial"/>
          <w:b/>
          <w:sz w:val="24"/>
          <w:szCs w:val="24"/>
        </w:rPr>
      </w:pPr>
      <w:r>
        <w:rPr>
          <w:rFonts w:ascii="Arial" w:hAnsi="Arial"/>
          <w:b/>
          <w:iCs/>
          <w:color w:val="000000"/>
          <w:sz w:val="24"/>
          <w:szCs w:val="24"/>
        </w:rPr>
        <w:t xml:space="preserve">Matrícula 1.07011-9</w:t>
      </w:r>
      <w:r/>
    </w:p>
    <w:p>
      <w:pPr>
        <w:pStyle w:val="926"/>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26"/>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08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87"/>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87"/>
        <w:jc w:val="both"/>
        <w:spacing w:before="57" w:after="57" w:line="360" w:lineRule="auto"/>
        <w:rPr>
          <w:rFonts w:ascii="Arial" w:hAnsi="Arial" w:eastAsia="Times New Roman"/>
          <w:sz w:val="24"/>
          <w:szCs w:val="24"/>
        </w:rPr>
      </w:pPr>
      <w:r>
        <w:rPr>
          <w:rFonts w:ascii="Arial" w:hAnsi="Arial" w:eastAsia="Times New Roman"/>
          <w:sz w:val="24"/>
          <w:szCs w:val="24"/>
        </w:rPr>
      </w:r>
      <w:r/>
    </w:p>
    <w:p>
      <w:pPr>
        <w:pStyle w:val="1087"/>
        <w:numPr>
          <w:ilvl w:val="0"/>
          <w:numId w:val="8"/>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1087"/>
        <w:numPr>
          <w:ilvl w:val="1"/>
          <w:numId w:val="8"/>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Registro de preços para </w:t>
      </w:r>
      <w:r>
        <w:rPr>
          <w:rFonts w:ascii="Arial" w:hAnsi="Arial" w:eastAsia="Times New Roman"/>
          <w:sz w:val="24"/>
          <w:szCs w:val="24"/>
        </w:rPr>
        <w:t xml:space="preserve">Contratação de empresa especializada para a aquisição de serviços de arbitragem para realização</w:t>
      </w:r>
      <w:r>
        <w:rPr>
          <w:rFonts w:ascii="Arial" w:hAnsi="Arial" w:eastAsia="Times New Roman"/>
          <w:sz w:val="24"/>
          <w:szCs w:val="24"/>
        </w:rPr>
        <w:t xml:space="preserve"> de jogos de diversas modalidades na cidade de Teresópolis– RJ. Através da Prefeitura Municipal Teresópolis, com a supervisão da Secretaria Municipal de Educação, sendo a contratada responsável por toda a organização no que tange os serviços de arbitragem.</w:t>
      </w:r>
      <w:r/>
    </w:p>
    <w:p>
      <w:pPr>
        <w:pStyle w:val="1087"/>
        <w:numPr>
          <w:ilvl w:val="1"/>
          <w:numId w:val="8"/>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A vigência contratual será pelo período de 12 (doze) meses, contados a partir da assinatura do contrato, podendo ser renovado por igual período.</w:t>
      </w:r>
      <w:r/>
    </w:p>
    <w:p>
      <w:pPr>
        <w:pStyle w:val="1087"/>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FUNDAMENTAÇÃO LEGAL</w:t>
      </w:r>
      <w:r>
        <w:rPr>
          <w:rFonts w:ascii="Arial" w:hAnsi="Arial"/>
          <w:b/>
          <w:sz w:val="24"/>
          <w:szCs w:val="24"/>
        </w:rPr>
        <w:t xml:space="preserve">:</w:t>
      </w:r>
      <w:r/>
    </w:p>
    <w:p>
      <w:pPr>
        <w:pStyle w:val="1087"/>
        <w:numPr>
          <w:ilvl w:val="1"/>
          <w:numId w:val="8"/>
        </w:numPr>
        <w:ind w:left="993" w:hanging="567"/>
        <w:jc w:val="both"/>
        <w:spacing w:before="57" w:after="57" w:line="360" w:lineRule="auto"/>
        <w:rPr>
          <w:rFonts w:ascii="Arial" w:hAnsi="Arial" w:cs="Arial" w:eastAsia="Times New Roman"/>
          <w:sz w:val="24"/>
          <w:szCs w:val="24"/>
        </w:rPr>
      </w:pPr>
      <w:r>
        <w:rPr>
          <w:rFonts w:ascii="Arial" w:hAnsi="Arial" w:cs="Arial" w:eastAsia="Times New Roman"/>
          <w:color w:val="000000"/>
          <w:sz w:val="24"/>
          <w:szCs w:val="24"/>
        </w:rPr>
        <w:t xml:space="preserve">A aquisição de serviços tem amparo legal disposto na Lei nº 10.520, de 17 de julho de 2002, especialmente os Decretos nº 10.024, de 20 de setembro de 2019 e 3.555, de 08 de agosto de 2000</w:t>
      </w:r>
      <w:r>
        <w:rPr>
          <w:rFonts w:ascii="Arial" w:hAnsi="Arial" w:cs="Arial" w:eastAsia="Times New Roman"/>
          <w:color w:val="000000"/>
          <w:sz w:val="24"/>
          <w:szCs w:val="24"/>
        </w:rPr>
        <w:t xml:space="preserve">, Decreto Municipal nº 4.845/2017</w:t>
      </w:r>
      <w:r>
        <w:rPr>
          <w:rFonts w:ascii="Arial" w:hAnsi="Arial" w:cs="Arial" w:eastAsia="Times New Roman"/>
          <w:color w:val="000000"/>
          <w:sz w:val="24"/>
          <w:szCs w:val="24"/>
        </w:rPr>
        <w:t xml:space="preserve"> e suas alterações posteriores, da Lei 8.666, de 21 de julho de 1993 e suas alterações posteriores.</w:t>
      </w:r>
      <w:r/>
    </w:p>
    <w:p>
      <w:pPr>
        <w:pStyle w:val="1087"/>
        <w:numPr>
          <w:ilvl w:val="0"/>
          <w:numId w:val="8"/>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1087"/>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A aquisição da Contratação dos Serviços de Arbitragem faz-se necessária, devido ao cronograma de atividades esportivas apresentado pela Secretaria Municipal de Educação, objetiva</w:t>
      </w:r>
      <w:r>
        <w:rPr>
          <w:rFonts w:ascii="Arial" w:hAnsi="Arial"/>
          <w:sz w:val="24"/>
          <w:szCs w:val="24"/>
        </w:rPr>
        <w:t xml:space="preserve">ndo o envolvimento da comunidade e classe estudantil de nossa cidade, tendo como responsabilidade a organização, disponibilidade árbitros responsáveis pelos jogos comunitários, amadores e demais eventos esportivos. A contratação da prestação de serviços ve</w:t>
      </w:r>
      <w:r>
        <w:rPr>
          <w:rFonts w:ascii="Arial" w:hAnsi="Arial"/>
          <w:sz w:val="24"/>
          <w:szCs w:val="24"/>
        </w:rPr>
        <w:t xml:space="preserve">m ao encontro com o plano de Governo Municipal que é o incentivo à prática de esportes, despertando o trabalho em equipe e o espírito de competição saudável entre os desportistas, sendo que os eventos têm como objetivo recrutar à participação da sociedade </w:t>
      </w:r>
      <w:r>
        <w:rPr>
          <w:rFonts w:ascii="Arial" w:hAnsi="Arial"/>
          <w:sz w:val="24"/>
          <w:szCs w:val="24"/>
        </w:rPr>
        <w:t xml:space="preserve">Teresopolitana</w:t>
      </w:r>
      <w:r>
        <w:rPr>
          <w:rFonts w:ascii="Arial" w:hAnsi="Arial"/>
          <w:sz w:val="24"/>
          <w:szCs w:val="24"/>
        </w:rPr>
        <w:t xml:space="preserve"> para as competições </w:t>
      </w:r>
      <w:r>
        <w:rPr>
          <w:rFonts w:ascii="Arial" w:hAnsi="Arial"/>
          <w:sz w:val="24"/>
          <w:szCs w:val="24"/>
        </w:rPr>
        <w:t xml:space="preserve">municipais à serem realizadas em diversos segmentos da sociedade, inscritos nas diversas modalidades esportivas.</w:t>
      </w:r>
      <w:r/>
    </w:p>
    <w:p>
      <w:pPr>
        <w:pStyle w:val="1087"/>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DOS SERVIÇOS DE ARBITRAGEM:</w:t>
      </w:r>
      <w:r/>
    </w:p>
    <w:p>
      <w:pPr>
        <w:numPr>
          <w:ilvl w:val="2"/>
          <w:numId w:val="8"/>
        </w:numPr>
        <w:ind w:left="1701" w:hanging="709"/>
        <w:jc w:val="both"/>
        <w:spacing w:before="57" w:after="57" w:line="360" w:lineRule="auto"/>
        <w:rPr>
          <w:rFonts w:ascii="Arial" w:hAnsi="Arial"/>
          <w:bCs/>
          <w:sz w:val="24"/>
          <w:szCs w:val="24"/>
        </w:rPr>
      </w:pPr>
      <w:r>
        <w:rPr>
          <w:rFonts w:ascii="Arial" w:hAnsi="Arial"/>
          <w:bCs/>
          <w:sz w:val="24"/>
          <w:szCs w:val="24"/>
        </w:rPr>
        <w:t xml:space="preserve">A Secretaria Municipal de Educação deseja promover campeonatos de todas as modalidades pertinentes para atender aos alunos da Rede Municipal de Ensino, para tanto vimos a </w:t>
      </w:r>
      <w:r>
        <w:rPr>
          <w:rFonts w:ascii="Arial" w:hAnsi="Arial"/>
          <w:bCs/>
          <w:sz w:val="24"/>
          <w:szCs w:val="24"/>
        </w:rPr>
        <w:t xml:space="preserve">necessidade da contratação dos serviços de arbitragem para que haja prestação      qualificada dos serviços. Além do entretenimento, as competições esportivas também podem ser grandes fontes de aprendizado, tanto para quem compete quanto para quem assiste.</w:t>
      </w:r>
      <w:r/>
    </w:p>
    <w:p>
      <w:pPr>
        <w:ind w:left="2835"/>
        <w:jc w:val="both"/>
        <w:spacing w:before="57" w:after="57" w:line="360" w:lineRule="auto"/>
        <w:rPr>
          <w:rFonts w:ascii="Arial" w:hAnsi="Arial"/>
          <w:bCs/>
          <w:sz w:val="24"/>
          <w:szCs w:val="24"/>
        </w:rPr>
      </w:pPr>
      <w:r>
        <w:rPr>
          <w:rFonts w:ascii="Arial" w:hAnsi="Arial"/>
          <w:bCs/>
          <w:sz w:val="24"/>
          <w:szCs w:val="24"/>
        </w:rPr>
        <w:t xml:space="preserve">A prática de esportes e atividades físicas fazem bem para o corpo e para a mente, Um dos grandes benefícios do esporte e da prática de atividades físicas é</w:t>
      </w:r>
      <w:r>
        <w:rPr>
          <w:rFonts w:ascii="Arial" w:hAnsi="Arial"/>
          <w:bCs/>
          <w:sz w:val="24"/>
          <w:szCs w:val="24"/>
        </w:rPr>
        <w:t xml:space="preserve"> a redução do estresse; a prática de esportes também está relacionada à autoconfiança; outro benefício do esporte para a saúde é o aumento da concentração; cada modalidade esportiva exige que o praticante tenha habilidades diferentes, estimulando assim o a</w:t>
      </w:r>
      <w:r>
        <w:rPr>
          <w:rFonts w:ascii="Arial" w:hAnsi="Arial"/>
          <w:bCs/>
          <w:sz w:val="24"/>
          <w:szCs w:val="24"/>
        </w:rPr>
        <w:t xml:space="preserve">prendizado e a capacidade cognitiva do praticante; O esporte e a atividade física também podem te ajudar a alcançar o peso ideal para seu corpo; Por fim, o esporte te ajudará a aumentar seu condicionamento físico e sua resistência, incluindo sua imunidade.</w:t>
      </w:r>
      <w:r/>
    </w:p>
    <w:p>
      <w:pPr>
        <w:numPr>
          <w:ilvl w:val="0"/>
          <w:numId w:val="8"/>
        </w:numPr>
        <w:jc w:val="both"/>
        <w:spacing w:before="57" w:after="57" w:line="360" w:lineRule="auto"/>
        <w:rPr>
          <w:rFonts w:ascii="Arial" w:hAnsi="Arial"/>
          <w:b/>
          <w:sz w:val="24"/>
          <w:szCs w:val="24"/>
        </w:rPr>
      </w:pPr>
      <w:r>
        <w:rPr>
          <w:rFonts w:ascii="Arial" w:hAnsi="Arial"/>
          <w:b/>
          <w:sz w:val="24"/>
          <w:szCs w:val="24"/>
        </w:rPr>
        <w:t xml:space="preserve">DA APRESENTAÇÃO DAS PROPOSTAS DE PREÇOS</w:t>
      </w:r>
      <w:r/>
    </w:p>
    <w:p>
      <w:pPr>
        <w:numPr>
          <w:ilvl w:val="1"/>
          <w:numId w:val="8"/>
        </w:numPr>
        <w:ind w:left="993" w:hanging="567"/>
        <w:jc w:val="both"/>
        <w:spacing w:before="57" w:after="57" w:line="360" w:lineRule="auto"/>
        <w:rPr>
          <w:rFonts w:ascii="Arial" w:hAnsi="Arial"/>
          <w:sz w:val="24"/>
          <w:szCs w:val="24"/>
        </w:rPr>
      </w:pPr>
      <w:r>
        <w:rPr>
          <w:rFonts w:ascii="Arial" w:hAnsi="Arial"/>
          <w:sz w:val="24"/>
          <w:szCs w:val="24"/>
        </w:rPr>
        <w:t xml:space="preserve">Na proposta de preços deverá constar os serviços especificados de forma clara, cotados em conformidade com este Termo de Referência, com o edital e seus anexos, citando tipo de serviço ou outra característica que possa identificar o material, a ser utiliza</w:t>
      </w:r>
      <w:r>
        <w:rPr>
          <w:rFonts w:ascii="Arial" w:hAnsi="Arial"/>
          <w:sz w:val="24"/>
          <w:szCs w:val="24"/>
        </w:rPr>
        <w:t xml:space="preserve">do na execução do serviço, a quantidade solicitada, o valor unitário e total, em moeda nacional, em algarismo, já considerando todas as despesas, tributos, transportes  e demais despesas que incidam direta ou indiretamente sobre os produtos, mesmo que não </w:t>
      </w:r>
      <w:r>
        <w:rPr>
          <w:rFonts w:ascii="Arial" w:hAnsi="Arial"/>
          <w:sz w:val="24"/>
          <w:szCs w:val="24"/>
        </w:rPr>
        <w:t xml:space="preserve">estejam registrados neste documento. Os serviços deverão obedecer às características técnicas correspondentes aos elementos contidos nas especificações expressas no Termo de Referência.</w:t>
      </w:r>
      <w:r/>
    </w:p>
    <w:p>
      <w:pPr>
        <w:numPr>
          <w:ilvl w:val="1"/>
          <w:numId w:val="8"/>
        </w:numPr>
        <w:ind w:left="993" w:hanging="567"/>
        <w:jc w:val="both"/>
        <w:spacing w:before="57" w:after="57" w:line="360" w:lineRule="auto"/>
        <w:rPr>
          <w:rFonts w:ascii="Arial" w:hAnsi="Arial" w:cs="Arial"/>
          <w:color w:val="000000"/>
          <w:sz w:val="24"/>
          <w:szCs w:val="24"/>
        </w:rPr>
      </w:pPr>
      <w:r>
        <w:rPr>
          <w:rFonts w:ascii="Arial" w:hAnsi="Arial" w:cs="Arial" w:eastAsia="Times New Roman"/>
          <w:color w:val="000000"/>
          <w:sz w:val="24"/>
          <w:szCs w:val="24"/>
        </w:rPr>
        <w:t xml:space="preserve">A Prefeitura Municipal </w:t>
      </w:r>
      <w:r>
        <w:rPr>
          <w:rFonts w:ascii="Arial" w:hAnsi="Arial" w:cs="Arial" w:eastAsia="Times New Roman"/>
          <w:color w:val="000000"/>
          <w:sz w:val="24"/>
          <w:szCs w:val="24"/>
        </w:rPr>
        <w:t xml:space="preserve">Teresópolis, através da Secretaria Municipal de Educação, poderá se valer da análise técnica dos bens propostos antes da adjudicação e homologação da licitante para verificação do atendimento das especificações mínimas constantes neste termo de referência.</w:t>
      </w:r>
      <w:r/>
    </w:p>
    <w:p>
      <w:pPr>
        <w:numPr>
          <w:ilvl w:val="1"/>
          <w:numId w:val="8"/>
        </w:numPr>
        <w:ind w:left="993" w:hanging="567"/>
        <w:jc w:val="both"/>
        <w:spacing w:before="57" w:after="57" w:line="360" w:lineRule="auto"/>
        <w:rPr>
          <w:rFonts w:ascii="Arial" w:hAnsi="Arial" w:cs="Arial" w:eastAsia="Times New Roman"/>
          <w:color w:val="000000"/>
          <w:sz w:val="24"/>
          <w:szCs w:val="24"/>
        </w:rPr>
      </w:pPr>
      <w:r>
        <w:rPr>
          <w:rFonts w:ascii="Arial" w:hAnsi="Arial" w:cs="Arial" w:eastAsia="Times New Roman"/>
          <w:color w:val="000000"/>
          <w:sz w:val="24"/>
          <w:szCs w:val="24"/>
        </w:rPr>
        <w:t xml:space="preserve">A empresa vencedora no processo de licitação deverá prestar o serviço e se responsabilizando pelo objeto deste Termo de Referência.</w:t>
      </w:r>
      <w:r/>
    </w:p>
    <w:p>
      <w:pPr>
        <w:numPr>
          <w:ilvl w:val="1"/>
          <w:numId w:val="8"/>
        </w:numPr>
        <w:ind w:left="993" w:hanging="567"/>
        <w:jc w:val="both"/>
        <w:spacing w:before="57" w:after="57" w:line="360" w:lineRule="auto"/>
        <w:rPr>
          <w:rFonts w:ascii="Arial" w:hAnsi="Arial" w:cs="Arial" w:eastAsia="Times New Roman"/>
          <w:color w:val="000000"/>
          <w:sz w:val="24"/>
          <w:szCs w:val="24"/>
        </w:rPr>
      </w:pPr>
      <w:r>
        <w:rPr>
          <w:rFonts w:ascii="Arial" w:hAnsi="Arial" w:cs="Arial" w:eastAsia="Times New Roman"/>
          <w:color w:val="000000"/>
          <w:sz w:val="24"/>
          <w:szCs w:val="24"/>
        </w:rPr>
        <w:t xml:space="preserve">Será considerada vencedora a licitante que apresentar a média do valor global, desde que atenda as exigências contidas neste Termo de Referência e no edital do Pregão</w:t>
      </w:r>
      <w:r>
        <w:rPr>
          <w:rFonts w:ascii="Arial" w:hAnsi="Arial" w:cs="Arial" w:eastAsia="Times New Roman"/>
          <w:color w:val="000000"/>
          <w:sz w:val="24"/>
          <w:szCs w:val="24"/>
        </w:rPr>
        <w:t xml:space="preserve">.</w:t>
      </w:r>
      <w:r/>
    </w:p>
    <w:p>
      <w:pPr>
        <w:numPr>
          <w:ilvl w:val="0"/>
          <w:numId w:val="8"/>
        </w:numPr>
        <w:jc w:val="both"/>
        <w:spacing w:before="57" w:after="57" w:line="360" w:lineRule="auto"/>
        <w:rPr>
          <w:rFonts w:ascii="Arial" w:hAnsi="Arial"/>
          <w:b/>
          <w:sz w:val="24"/>
          <w:szCs w:val="24"/>
        </w:rPr>
      </w:pPr>
      <w:r>
        <w:rPr>
          <w:rFonts w:ascii="Arial" w:hAnsi="Arial"/>
          <w:b/>
          <w:sz w:val="24"/>
          <w:szCs w:val="24"/>
        </w:rPr>
        <w:t xml:space="preserve">DAS OBRIGAÇÕES DA CONTRATADA</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jc w:val="both"/>
        <w:spacing w:before="57" w:after="57" w:line="360" w:lineRule="auto"/>
        <w:rPr>
          <w:rFonts w:ascii="Arial" w:hAnsi="Arial"/>
          <w:b/>
          <w:sz w:val="24"/>
          <w:szCs w:val="24"/>
        </w:rPr>
      </w:pPr>
      <w:r>
        <w:rPr>
          <w:rFonts w:ascii="Arial" w:hAnsi="Arial"/>
          <w:b/>
          <w:sz w:val="24"/>
          <w:szCs w:val="24"/>
        </w:rPr>
        <w:t xml:space="preserve">DAS OBRIGAÇÕES DA CONTRATANTE</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rPr>
          <w:rFonts w:ascii="Arial" w:hAnsi="Arial" w:eastAsia="Arial Unicode MS"/>
          <w:sz w:val="24"/>
          <w:szCs w:val="24"/>
        </w:rPr>
        <w:t xml:space="preserve">.</w:t>
      </w:r>
      <w:r/>
    </w:p>
    <w:p>
      <w:pPr>
        <w:numPr>
          <w:ilvl w:val="0"/>
          <w:numId w:val="8"/>
        </w:numPr>
        <w:jc w:val="both"/>
        <w:spacing w:before="57" w:after="57" w:line="360" w:lineRule="auto"/>
        <w:rPr>
          <w:rFonts w:ascii="Arial" w:hAnsi="Arial"/>
          <w:b/>
          <w:sz w:val="24"/>
          <w:szCs w:val="24"/>
        </w:rPr>
      </w:pPr>
      <w:r>
        <w:rPr>
          <w:b/>
          <w:bCs/>
          <w:sz w:val="24"/>
          <w:szCs w:val="24"/>
        </w:rPr>
        <w:t xml:space="preserve">DAS </w:t>
      </w:r>
      <w:r>
        <w:rPr>
          <w:b/>
          <w:bCs/>
          <w:sz w:val="24"/>
          <w:szCs w:val="24"/>
        </w:rPr>
        <w:t xml:space="preserve">SANÇÕES ADMINISTRATIVAS</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jc w:val="both"/>
        <w:spacing w:before="57" w:after="57" w:line="360" w:lineRule="auto"/>
        <w:rPr>
          <w:rFonts w:ascii="Arial" w:hAnsi="Arial"/>
          <w:b/>
          <w:sz w:val="24"/>
          <w:szCs w:val="24"/>
        </w:rPr>
      </w:pPr>
      <w:r>
        <w:rPr>
          <w:b/>
          <w:bCs/>
          <w:sz w:val="24"/>
          <w:szCs w:val="24"/>
        </w:rPr>
        <w:t xml:space="preserve">D</w:t>
      </w:r>
      <w:r>
        <w:rPr>
          <w:b/>
          <w:bCs/>
          <w:sz w:val="24"/>
          <w:szCs w:val="24"/>
        </w:rPr>
        <w:t xml:space="preserve">O</w:t>
      </w:r>
      <w:r>
        <w:rPr>
          <w:b/>
          <w:bCs/>
          <w:sz w:val="24"/>
          <w:szCs w:val="24"/>
        </w:rPr>
        <w:t xml:space="preserve"> PAGAMENTO</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jc w:val="both"/>
        <w:spacing w:before="57" w:after="57" w:line="360" w:lineRule="auto"/>
        <w:rPr>
          <w:rFonts w:ascii="Arial" w:hAnsi="Arial"/>
          <w:bCs/>
          <w:sz w:val="24"/>
          <w:szCs w:val="24"/>
        </w:rPr>
      </w:pPr>
      <w:r>
        <w:rPr>
          <w:b/>
          <w:bCs/>
          <w:sz w:val="24"/>
          <w:szCs w:val="24"/>
        </w:rPr>
        <w:t xml:space="preserve">DOS RECURSOS ORÇAMENTÁRIOS</w:t>
      </w:r>
      <w:r/>
    </w:p>
    <w:p>
      <w:pPr>
        <w:numPr>
          <w:ilvl w:val="1"/>
          <w:numId w:val="8"/>
        </w:numPr>
        <w:ind w:left="1276" w:hanging="708"/>
        <w:jc w:val="both"/>
        <w:spacing w:before="57" w:after="57" w:line="360" w:lineRule="auto"/>
        <w:rPr>
          <w:rFonts w:ascii="Arial" w:hAnsi="Arial"/>
          <w:bCs/>
          <w:color w:val="000000"/>
          <w:sz w:val="24"/>
          <w:szCs w:val="24"/>
        </w:rPr>
      </w:pPr>
      <w:r>
        <w:rPr>
          <w:color w:val="000000" w:themeColor="text1"/>
          <w:sz w:val="24"/>
          <w:szCs w:val="24"/>
        </w:rPr>
        <w:t xml:space="preserve">As despesas inerentes a este Termo de Referência correrão à conta da Dotação Orçamentária</w:t>
      </w:r>
      <w:r/>
    </w:p>
    <w:p>
      <w:pPr>
        <w:ind w:left="426" w:firstLine="862"/>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w:t>
      </w:r>
      <w:r>
        <w:rPr>
          <w:rFonts w:ascii="Arial" w:hAnsi="Arial"/>
          <w:b/>
          <w:bCs/>
          <w:color w:val="000000" w:themeColor="text1"/>
          <w:sz w:val="24"/>
          <w:szCs w:val="24"/>
        </w:rPr>
        <w:t xml:space="preserve">9</w:t>
      </w:r>
      <w:r>
        <w:rPr>
          <w:rFonts w:ascii="Arial" w:hAnsi="Arial"/>
          <w:b/>
          <w:bCs/>
          <w:color w:val="000000" w:themeColor="text1"/>
          <w:sz w:val="24"/>
          <w:szCs w:val="24"/>
        </w:rPr>
        <w:t xml:space="preserve">.</w:t>
      </w:r>
      <w:r>
        <w:rPr>
          <w:rFonts w:ascii="Arial" w:hAnsi="Arial"/>
          <w:b/>
          <w:bCs/>
          <w:color w:val="000000" w:themeColor="text1"/>
          <w:sz w:val="24"/>
          <w:szCs w:val="24"/>
        </w:rPr>
        <w:t xml:space="preserve">12</w:t>
      </w:r>
      <w:r>
        <w:rPr>
          <w:rFonts w:ascii="Arial" w:hAnsi="Arial"/>
          <w:b/>
          <w:bCs/>
          <w:color w:val="000000" w:themeColor="text1"/>
          <w:sz w:val="24"/>
          <w:szCs w:val="24"/>
        </w:rPr>
        <w:t xml:space="preserve">.</w:t>
      </w:r>
      <w:r>
        <w:rPr>
          <w:rFonts w:ascii="Arial" w:hAnsi="Arial"/>
          <w:b/>
          <w:bCs/>
          <w:color w:val="000000" w:themeColor="text1"/>
          <w:sz w:val="24"/>
          <w:szCs w:val="24"/>
        </w:rPr>
        <w:t xml:space="preserve">361</w:t>
      </w:r>
      <w:r>
        <w:rPr>
          <w:rFonts w:ascii="Arial" w:hAnsi="Arial"/>
          <w:b/>
          <w:bCs/>
          <w:color w:val="000000" w:themeColor="text1"/>
          <w:sz w:val="24"/>
          <w:szCs w:val="24"/>
        </w:rPr>
        <w:t xml:space="preserve">.00</w:t>
      </w:r>
      <w:r>
        <w:rPr>
          <w:rFonts w:ascii="Arial" w:hAnsi="Arial"/>
          <w:b/>
          <w:bCs/>
          <w:color w:val="000000" w:themeColor="text1"/>
          <w:sz w:val="24"/>
          <w:szCs w:val="24"/>
        </w:rPr>
        <w:t xml:space="preserve">34</w:t>
      </w:r>
      <w:r>
        <w:rPr>
          <w:rFonts w:ascii="Arial" w:hAnsi="Arial"/>
          <w:b/>
          <w:bCs/>
          <w:color w:val="000000" w:themeColor="text1"/>
          <w:sz w:val="24"/>
          <w:szCs w:val="24"/>
        </w:rPr>
        <w:t xml:space="preserve">.20</w:t>
      </w:r>
      <w:r>
        <w:rPr>
          <w:rFonts w:ascii="Arial" w:hAnsi="Arial"/>
          <w:b/>
          <w:bCs/>
          <w:color w:val="000000" w:themeColor="text1"/>
          <w:sz w:val="24"/>
          <w:szCs w:val="24"/>
        </w:rPr>
        <w:t xml:space="preserve">45</w:t>
      </w:r>
      <w:r>
        <w:rPr>
          <w:rFonts w:ascii="Arial" w:hAnsi="Arial"/>
          <w:b/>
          <w:bCs/>
          <w:color w:val="000000" w:themeColor="text1"/>
          <w:sz w:val="24"/>
          <w:szCs w:val="24"/>
        </w:rPr>
        <w:t xml:space="preserve">   3.3.90.39.00.00   Fonte: 100    Conta: </w:t>
      </w:r>
      <w:r>
        <w:rPr>
          <w:rFonts w:ascii="Arial" w:hAnsi="Arial"/>
          <w:b/>
          <w:bCs/>
          <w:color w:val="000000" w:themeColor="text1"/>
          <w:sz w:val="24"/>
          <w:szCs w:val="24"/>
        </w:rPr>
        <w:t xml:space="preserve">441</w:t>
      </w:r>
      <w:r/>
    </w:p>
    <w:p>
      <w:pPr>
        <w:numPr>
          <w:ilvl w:val="0"/>
          <w:numId w:val="8"/>
        </w:numPr>
        <w:ind w:left="426" w:hanging="426"/>
        <w:jc w:val="both"/>
        <w:spacing w:before="57" w:after="57" w:line="360" w:lineRule="auto"/>
        <w:rPr>
          <w:rFonts w:ascii="Arial" w:hAnsi="Arial"/>
          <w:b/>
          <w:sz w:val="24"/>
          <w:szCs w:val="24"/>
        </w:rPr>
      </w:pPr>
      <w:r>
        <w:rPr>
          <w:rFonts w:ascii="Arial" w:hAnsi="Arial"/>
          <w:b/>
          <w:sz w:val="24"/>
          <w:szCs w:val="24"/>
        </w:rPr>
        <w:t xml:space="preserve">DA FISCALIZAÇÃO</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ind w:left="426" w:hanging="426"/>
        <w:jc w:val="both"/>
        <w:spacing w:before="57" w:after="57" w:line="360" w:lineRule="auto"/>
        <w:rPr>
          <w:rFonts w:ascii="Arial" w:hAnsi="Arial"/>
          <w:b/>
          <w:sz w:val="24"/>
          <w:szCs w:val="24"/>
        </w:rPr>
      </w:pPr>
      <w:r>
        <w:rPr>
          <w:rFonts w:ascii="Arial" w:hAnsi="Arial"/>
          <w:b/>
          <w:sz w:val="24"/>
          <w:szCs w:val="24"/>
        </w:rPr>
        <w:t xml:space="preserve">LOCAL E PRAZO PARA EXECUÇÃO DOS SERVIÇOS</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ind w:left="426" w:hanging="426"/>
        <w:jc w:val="both"/>
        <w:spacing w:before="57" w:after="57" w:line="360" w:lineRule="auto"/>
        <w:rPr>
          <w:rFonts w:ascii="Arial" w:hAnsi="Arial"/>
          <w:b/>
          <w:sz w:val="24"/>
          <w:szCs w:val="24"/>
        </w:rPr>
      </w:pPr>
      <w:r>
        <w:rPr>
          <w:rFonts w:ascii="Arial" w:hAnsi="Arial"/>
          <w:b/>
          <w:sz w:val="24"/>
          <w:szCs w:val="24"/>
        </w:rPr>
        <w:t xml:space="preserve">RECEBIMENTO DA PRESTAÇÃO DE SERVIÇOS</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ind w:left="567" w:hanging="426"/>
        <w:jc w:val="both"/>
        <w:spacing w:before="57" w:after="57" w:line="360" w:lineRule="auto"/>
        <w:rPr>
          <w:rFonts w:ascii="Arial" w:hAnsi="Arial"/>
          <w:b/>
          <w:sz w:val="24"/>
          <w:szCs w:val="24"/>
        </w:rPr>
      </w:pPr>
      <w:r>
        <w:rPr>
          <w:rFonts w:ascii="Arial" w:hAnsi="Arial"/>
          <w:b/>
          <w:sz w:val="24"/>
          <w:szCs w:val="24"/>
        </w:rPr>
        <w:t xml:space="preserve">DA FORMALIZAÇÃO E VIGÊNCIA DO CONTRATO</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ind w:left="567" w:hanging="426"/>
        <w:jc w:val="both"/>
        <w:spacing w:before="57" w:after="57" w:line="360" w:lineRule="auto"/>
        <w:rPr>
          <w:rFonts w:ascii="Arial" w:hAnsi="Arial"/>
          <w:b/>
          <w:sz w:val="24"/>
          <w:szCs w:val="24"/>
        </w:rPr>
      </w:pPr>
      <w:r>
        <w:rPr>
          <w:rFonts w:ascii="Arial" w:hAnsi="Arial"/>
          <w:b/>
          <w:sz w:val="24"/>
          <w:szCs w:val="24"/>
        </w:rPr>
        <w:t xml:space="preserve">DA RESCISÃO DO CONTRATO</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rPr>
          <w:rFonts w:ascii="Arial" w:hAnsi="Arial" w:eastAsia="Arial Unicode MS"/>
          <w:sz w:val="24"/>
          <w:szCs w:val="24"/>
        </w:rPr>
        <w:t xml:space="preserve">.</w:t>
      </w:r>
      <w:r/>
    </w:p>
    <w:p>
      <w:pPr>
        <w:numPr>
          <w:ilvl w:val="0"/>
          <w:numId w:val="8"/>
        </w:numPr>
        <w:ind w:left="567" w:hanging="426"/>
        <w:jc w:val="both"/>
        <w:spacing w:before="57" w:after="57" w:line="360" w:lineRule="auto"/>
        <w:rPr>
          <w:rFonts w:ascii="Arial" w:hAnsi="Arial"/>
          <w:b/>
          <w:sz w:val="24"/>
          <w:szCs w:val="24"/>
        </w:rPr>
      </w:pPr>
      <w:r>
        <w:rPr>
          <w:rFonts w:ascii="Arial" w:hAnsi="Arial"/>
          <w:b/>
          <w:sz w:val="24"/>
          <w:szCs w:val="24"/>
        </w:rPr>
        <w:t xml:space="preserve">QUALIFICAÇÃO TÉCNICA:</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Conforme especificações do edital.</w:t>
      </w:r>
      <w:r/>
    </w:p>
    <w:p>
      <w:pPr>
        <w:numPr>
          <w:ilvl w:val="0"/>
          <w:numId w:val="8"/>
        </w:numPr>
        <w:ind w:left="567" w:hanging="426"/>
        <w:jc w:val="both"/>
        <w:spacing w:before="57" w:after="57" w:line="360" w:lineRule="auto"/>
        <w:rPr>
          <w:rFonts w:ascii="Arial" w:hAnsi="Arial"/>
          <w:b/>
          <w:sz w:val="24"/>
          <w:szCs w:val="24"/>
        </w:rPr>
      </w:pPr>
      <w:r>
        <w:rPr>
          <w:rFonts w:ascii="Arial" w:hAnsi="Arial"/>
          <w:b/>
          <w:bCs/>
          <w:sz w:val="24"/>
          <w:szCs w:val="24"/>
        </w:rPr>
        <w:t xml:space="preserve">ESPECIFICAÇÕES DOS ITENS</w:t>
      </w:r>
      <w:r/>
    </w:p>
    <w:p>
      <w:pPr>
        <w:numPr>
          <w:ilvl w:val="1"/>
          <w:numId w:val="8"/>
        </w:numPr>
        <w:ind w:left="1276" w:hanging="708"/>
        <w:jc w:val="both"/>
        <w:spacing w:before="57" w:after="57" w:line="360" w:lineRule="auto"/>
        <w:rPr>
          <w:rFonts w:ascii="Arial" w:hAnsi="Arial"/>
          <w:sz w:val="24"/>
          <w:szCs w:val="24"/>
        </w:rPr>
      </w:pPr>
      <w:r>
        <w:rPr>
          <w:rFonts w:ascii="Arial" w:hAnsi="Arial" w:eastAsia="Arial Unicode MS"/>
          <w:sz w:val="24"/>
          <w:szCs w:val="24"/>
        </w:rPr>
        <w:t xml:space="preserve">Deverão ser rigorosamente atendidas às especificações constantes </w:t>
      </w:r>
      <w:r>
        <w:rPr>
          <w:rFonts w:ascii="Arial" w:hAnsi="Arial" w:eastAsia="Arial Unicode MS"/>
          <w:sz w:val="24"/>
          <w:szCs w:val="24"/>
        </w:rPr>
        <w:t xml:space="preserve">da tabela abaixo, que estão subdivididos em lotes:</w:t>
      </w:r>
      <w:r/>
    </w:p>
    <w:p>
      <w:pPr>
        <w:spacing w:before="5"/>
        <w:rPr>
          <w:rFonts w:ascii="Times New Roman" w:hAnsi="Times New Roman" w:cs="Times New Roman" w:eastAsia="Times New Roman"/>
          <w:b/>
          <w:color w:val="000000"/>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eastAsia="Times New Roman"/>
          <w:b/>
          <w:color w:val="000000"/>
        </w:rPr>
      </w:r>
      <w:r/>
    </w:p>
    <w:tbl>
      <w:tblPr>
        <w:tblW w:w="106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87"/>
        <w:gridCol w:w="3686"/>
        <w:gridCol w:w="992"/>
        <w:gridCol w:w="850"/>
        <w:gridCol w:w="1560"/>
        <w:gridCol w:w="1701"/>
        <w:gridCol w:w="992"/>
      </w:tblGrid>
      <w:tr>
        <w:trPr>
          <w:jc w:val="center"/>
          <w:trHeight w:val="519"/>
        </w:trPr>
        <w:tc>
          <w:tcPr>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ITEM</w:t>
            </w:r>
            <w:r/>
          </w:p>
        </w:tc>
        <w:tc>
          <w:tcPr>
            <w:tcW w:w="3686" w:type="dxa"/>
            <w:vAlign w:val="center"/>
            <w:textDirection w:val="lrTb"/>
            <w:noWrap w:val="false"/>
          </w:tcPr>
          <w:p>
            <w:pPr>
              <w:jc w:val="center"/>
              <w:rPr>
                <w:rFonts w:ascii="Arial" w:hAnsi="Arial" w:cs="Arial"/>
                <w:sz w:val="18"/>
                <w:szCs w:val="18"/>
              </w:rPr>
            </w:pPr>
            <w:r>
              <w:rPr>
                <w:rFonts w:ascii="Arial" w:hAnsi="Arial" w:cs="Arial"/>
                <w:sz w:val="18"/>
                <w:szCs w:val="18"/>
              </w:rPr>
              <w:t xml:space="preserve">DESCRIÇÃO</w:t>
            </w:r>
            <w:r/>
          </w:p>
        </w:tc>
        <w:tc>
          <w:tcPr>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UNID.</w:t>
            </w:r>
            <w:r/>
          </w:p>
        </w:tc>
        <w:tc>
          <w:tcPr>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QTD.</w:t>
            </w:r>
            <w:r/>
          </w:p>
        </w:tc>
        <w:tc>
          <w:tcPr>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VALOR MENOR</w:t>
            </w:r>
            <w:r/>
          </w:p>
        </w:tc>
        <w:tc>
          <w:tcPr>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VALOR TOTAL</w:t>
            </w:r>
            <w:r/>
          </w:p>
        </w:tc>
        <w:tc>
          <w:tcPr>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CATSERV</w:t>
            </w:r>
            <w:r/>
          </w:p>
        </w:tc>
      </w:tr>
      <w:tr>
        <w:trPr>
          <w:jc w:val="center"/>
          <w:trHeight w:val="2383"/>
        </w:trPr>
        <w:tc>
          <w:tcPr>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01</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W w:w="3686" w:type="dxa"/>
            <w:vAlign w:val="center"/>
            <w:textDirection w:val="lrTb"/>
            <w:noWrap w:val="false"/>
          </w:tcPr>
          <w:p>
            <w:pPr>
              <w:jc w:val="both"/>
              <w:rPr>
                <w:rFonts w:ascii="Arial" w:hAnsi="Arial" w:cs="Arial" w:eastAsia="Times New Roman"/>
                <w:color w:val="000000"/>
                <w:sz w:val="18"/>
                <w:szCs w:val="18"/>
              </w:rPr>
            </w:pPr>
            <w:r>
              <w:rPr>
                <w:rFonts w:ascii="Arial" w:hAnsi="Arial" w:cs="Arial"/>
                <w:sz w:val="18"/>
                <w:szCs w:val="18"/>
              </w:rPr>
              <w:t xml:space="preserve">ATLETISMO MASCULINO E FEMININO   -</w:t>
            </w:r>
            <w:r>
              <w:rPr>
                <w:rFonts w:ascii="Arial" w:hAnsi="Arial" w:cs="Arial"/>
                <w:sz w:val="18"/>
                <w:szCs w:val="18"/>
              </w:rPr>
              <w:t xml:space="preserve"> </w:t>
            </w:r>
            <w:r>
              <w:rPr>
                <w:rFonts w:ascii="Arial" w:hAnsi="Arial" w:cs="Arial"/>
                <w:sz w:val="18"/>
                <w:szCs w:val="18"/>
              </w:rPr>
              <w:t xml:space="preserve">A prestação dos serviços de arbitragem deverá ser de qualidade e eficácia de acordo com as regras oficiais adotadas pela Confederação Brasileira de Atletismo (CBAt) e conforme o regulamento </w:t>
            </w:r>
            <w:r>
              <w:rPr>
                <w:rFonts w:ascii="Arial" w:hAnsi="Arial" w:cs="Arial"/>
                <w:sz w:val="18"/>
                <w:szCs w:val="18"/>
              </w:rPr>
              <w:t xml:space="preserve">da competição que será entregue a empresa que prestará o serviço. As modalidades que serão oferecidas serão VELOCIDADE, REVEZAMENTO, CORRIDA RÚSTICA, SALTO EM ALTURA, SALTO EM DISTÂNCIA E ARREMESSO DE PESO. Toda a prestação dos serviços de arbitragem dever</w:t>
            </w:r>
            <w:r>
              <w:rPr>
                <w:rFonts w:ascii="Arial" w:hAnsi="Arial" w:cs="Arial"/>
                <w:sz w:val="18"/>
                <w:szCs w:val="18"/>
              </w:rPr>
              <w:t xml:space="preserve">á ser isenta e profissional. Constatada alguma irregularidade pela Comissão Organizadora, a empresa sofrerá notificação a ser emitida pela Contratante. Toda a prestação dos serviços de arbitragem deverá estar dentro das normas da ABNT, INMETRO e Confederaç</w:t>
            </w:r>
            <w:r>
              <w:rPr>
                <w:rFonts w:ascii="Arial" w:hAnsi="Arial" w:cs="Arial"/>
                <w:sz w:val="18"/>
                <w:szCs w:val="18"/>
              </w:rPr>
              <w:t xml:space="preserve">ão Brasileira de Atletismo. A equipe deverá de arbitragem deverá estar uniformizada, e   com   todos   os   materiais e insumos necessários para realização do serviço de acordo com as regras oficiais da modalidade (uniforme, súmulas, apitos, cronômetros, b</w:t>
            </w:r>
            <w:r>
              <w:rPr>
                <w:rFonts w:ascii="Arial" w:hAnsi="Arial" w:cs="Arial"/>
                <w:sz w:val="18"/>
                <w:szCs w:val="18"/>
              </w:rPr>
              <w:t xml:space="preserve">andeiras, etc.). A equipe de arbitragem será formada por um árbitro geral, um árbitro responsável por cada modalidade e quatro auxiliares por modalidade. Todos os membros da equipe de arbitragem, deverão ser habilitados por curso específico na modalidade, </w:t>
            </w:r>
            <w:r>
              <w:rPr>
                <w:rFonts w:ascii="Arial" w:hAnsi="Arial" w:cs="Arial"/>
                <w:sz w:val="18"/>
                <w:szCs w:val="18"/>
              </w:rPr>
              <w:t xml:space="preserve">apresentando documentação de experiência em competições a nível regional ou superior, no momento da assinatura do contrato. Haverá modalidades simultâneas.</w:t>
            </w:r>
            <w:r/>
          </w:p>
        </w:tc>
        <w:tc>
          <w:tcPr>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Provas</w:t>
            </w:r>
            <w:r/>
          </w:p>
        </w:tc>
        <w:tc>
          <w:tcPr>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72</w:t>
            </w:r>
            <w:r/>
          </w:p>
        </w:tc>
        <w:tc>
          <w:tcPr>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820,00</w:t>
            </w:r>
            <w:r/>
          </w:p>
        </w:tc>
        <w:tc>
          <w:tcPr>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59.040,00</w:t>
            </w:r>
            <w:r/>
          </w:p>
        </w:tc>
        <w:tc>
          <w:tcPr>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6074"/>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02</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BADMINTON MASCULINO E FEMININO -   A prestação dos serviços de arbitragem deverá ser de acordo com as Regras Oficiais da </w:t>
            </w:r>
            <w:r>
              <w:rPr>
                <w:rFonts w:ascii="Arial" w:hAnsi="Arial" w:cs="Arial"/>
                <w:sz w:val="18"/>
                <w:szCs w:val="18"/>
              </w:rPr>
              <w:t xml:space="preserve">CBBd</w:t>
            </w:r>
            <w:r>
              <w:rPr>
                <w:rFonts w:ascii="Arial" w:hAnsi="Arial" w:cs="Arial"/>
                <w:sz w:val="18"/>
                <w:szCs w:val="18"/>
              </w:rPr>
              <w:t xml:space="preserve"> e conforme o regulamento da competição que será entregue a empresa que prestará o serviço. Toda a prestação dos serviços de arbitragem dever</w:t>
            </w:r>
            <w:r>
              <w:rPr>
                <w:rFonts w:ascii="Arial" w:hAnsi="Arial" w:cs="Arial"/>
                <w:sz w:val="18"/>
                <w:szCs w:val="18"/>
              </w:rPr>
              <w:t xml:space="preserve">á ser idônea e profissional. Constatada alguma irregularidade pela Comissão Organizadora dos Jogos, a empresa sofrerá notificação a ser emitida pela Contratante. Toda a prestação dos serviços de arbitragem deverá estar dentro das normas da ABNT, INMETRO e </w:t>
            </w:r>
            <w:r>
              <w:rPr>
                <w:rFonts w:ascii="Arial" w:hAnsi="Arial" w:cs="Arial"/>
                <w:sz w:val="18"/>
                <w:szCs w:val="18"/>
              </w:rPr>
              <w:t xml:space="preserve">CBBd</w:t>
            </w:r>
            <w:r>
              <w:rPr>
                <w:rFonts w:ascii="Arial" w:hAnsi="Arial" w:cs="Arial"/>
                <w:sz w:val="18"/>
                <w:szCs w:val="18"/>
              </w:rPr>
              <w:t xml:space="preserve">. A equipe de arbitragem deverá ser formada por cinco árbitros devidamente uniformizados, e com todos os materiais e insumos necessários para realização do serviço de acordo com as regras oficiais da modalidade (uniforme, súmulas, apitos, cronômet</w:t>
            </w:r>
            <w:r>
              <w:rPr>
                <w:rFonts w:ascii="Arial" w:hAnsi="Arial" w:cs="Arial"/>
                <w:sz w:val="18"/>
                <w:szCs w:val="18"/>
              </w:rPr>
              <w:t xml:space="preserve">ros, etc.). Todos os membros da equipe de arbitragem deverão ser habilitados por curso específico na modalidade, apresentando documentação de experiência de jogos a nível regional ou superior, no momento da assinatura do contrato.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813</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25</w:t>
            </w:r>
            <w:r>
              <w:rPr>
                <w:rFonts w:ascii="Arial" w:hAnsi="Arial" w:cs="Arial" w:eastAsia="Times New Roman"/>
                <w:color w:val="000000"/>
                <w:sz w:val="18"/>
                <w:szCs w:val="18"/>
              </w:rPr>
              <w:t xml:space="preserve">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203.250,00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2241"/>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03</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BAS</w:t>
            </w:r>
            <w:r>
              <w:rPr>
                <w:rFonts w:ascii="Arial" w:hAnsi="Arial" w:cs="Arial"/>
                <w:sz w:val="18"/>
                <w:szCs w:val="18"/>
              </w:rPr>
              <w:t xml:space="preserve">QUETE FEMININO   E   MASCULINO   - A prestação dos serviços de arbitragem deverá ser de acordo comas Regras Oficiais da Confederação Brasileira de Basquete (CBB) e conforme o regulamento da competição que será entregue a empresa que prestará o serviço. Tod</w:t>
            </w:r>
            <w:r>
              <w:rPr>
                <w:rFonts w:ascii="Arial" w:hAnsi="Arial" w:cs="Arial"/>
                <w:sz w:val="18"/>
                <w:szCs w:val="18"/>
              </w:rPr>
              <w:t xml:space="preserve">a a prestação dos serviços de arbitragem deverá ser idônea e profissional. Constatada alguma irregularidade pela Comissão Organizadora, a empresa sofrerá notificação a ser emitida pela Contratante. Toda a prestação dos serviços de arbitragem deverá estar d</w:t>
            </w:r>
            <w:r>
              <w:rPr>
                <w:rFonts w:ascii="Arial" w:hAnsi="Arial" w:cs="Arial"/>
                <w:sz w:val="18"/>
                <w:szCs w:val="18"/>
              </w:rPr>
              <w:t xml:space="preserve">entro das normas da ABNT, INMETRO e. A equipe de arbitragem deverá ser formada por dois árbitros, um secretário e um cronometrista, devidamente uniformizados, e   com   todos   os materiais e insumos necessários para realização do serviço de acordo com as </w:t>
            </w:r>
            <w:r>
              <w:rPr>
                <w:rFonts w:ascii="Arial" w:hAnsi="Arial" w:cs="Arial"/>
                <w:sz w:val="18"/>
                <w:szCs w:val="18"/>
              </w:rPr>
              <w:t xml:space="preserve">regras oficiais da modalidade (uniforme, súmulas, apitos, cronômetros, placas e seta,</w:t>
            </w:r>
            <w:r>
              <w:rPr>
                <w:rFonts w:ascii="Arial" w:hAnsi="Arial" w:cs="Arial"/>
                <w:sz w:val="18"/>
                <w:szCs w:val="18"/>
              </w:rPr>
              <w:t xml:space="preserve"> etc.). Todos os membros da equipe de arbitragem deverão ser habilitados por curso específico na modalidade, apresentando documentação de experiência de jogos a nível regional ou superior, no momento da assinatura do contrato. Não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294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280,00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82.320,00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4952"/>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04</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CABO DE GUERRA MISTO -   A prestação dos serviços de arbitragem deverá ser de acordo com as Regras do Regulamento Geral dos Jogos Escolares Municipais de Teresópolis (</w:t>
            </w:r>
            <w:r>
              <w:rPr>
                <w:rFonts w:ascii="Arial" w:hAnsi="Arial" w:cs="Arial"/>
                <w:sz w:val="18"/>
                <w:szCs w:val="18"/>
              </w:rPr>
              <w:t xml:space="preserve">JEMs</w:t>
            </w:r>
            <w:r>
              <w:rPr>
                <w:rFonts w:ascii="Arial" w:hAnsi="Arial" w:cs="Arial"/>
                <w:sz w:val="18"/>
                <w:szCs w:val="18"/>
              </w:rPr>
              <w:t xml:space="preserve">) que serão entregues a empresa que prestará o serviço. Toda a prestação dos serviços de arbitragem deverá ser id</w:t>
            </w:r>
            <w:r>
              <w:rPr>
                <w:rFonts w:ascii="Arial" w:hAnsi="Arial" w:cs="Arial"/>
                <w:sz w:val="18"/>
                <w:szCs w:val="18"/>
              </w:rPr>
              <w:t xml:space="preserve">ônea e profissional. Constatada alguma irregularidade pela Comissão Organizadora, a empresa sofrerá notificação a   ser emitida pela Contratante. A equipe de arbitragem deverá ser formada por um árbitro formado em educação física com registro no CREF (situ</w:t>
            </w:r>
            <w:r>
              <w:rPr>
                <w:rFonts w:ascii="Arial" w:hAnsi="Arial" w:cs="Arial"/>
                <w:sz w:val="18"/>
                <w:szCs w:val="18"/>
              </w:rPr>
              <w:t xml:space="preserve">ação ATIVO REGULAR), dois assistentes e um mesário, devidamente uniformizados e com todos os materiais e insumos necessários para realização do serviço de acordo com as regras do regulamento (uniforme, súmulas, apitos, cronômetros, bandeiras entre outros).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105</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150,00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15.750,00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1391"/>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05</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DAMAS MASCULINO, FEMININO E MISTO– A prestação dos serviços de arbitragem deverá ser de acordo com as Regras Oficiais da Confederação Brasileira de Jogo de Damas (CBJD) e conforme o regulamento da competição que será entregue a empresa que prestará </w:t>
            </w:r>
            <w:r>
              <w:rPr>
                <w:rFonts w:ascii="Arial" w:hAnsi="Arial" w:cs="Arial"/>
                <w:sz w:val="18"/>
                <w:szCs w:val="18"/>
              </w:rPr>
              <w:t xml:space="preserve">o serviço. Toda a prestação dos serviços de arbitragem deverá ser idônea e profissional. Constatada alguma irregularidade pela Comissão Organizadora, a empresa sofrerá notificação a ser emitida pela Contratante. Toda a prestação dos serviços de arbitragem </w:t>
            </w:r>
            <w:r>
              <w:rPr>
                <w:rFonts w:ascii="Arial" w:hAnsi="Arial" w:cs="Arial"/>
                <w:sz w:val="18"/>
                <w:szCs w:val="18"/>
              </w:rPr>
              <w:t xml:space="preserve">deverá estar dentro das normas da ABNT, INMETRO e CBJD. A equipe de arbitragem deverá ser formada por um árbitro principal, seis árbitros auxiliares, devidamente uniformizados, e   com   todos   os materiais e insumos necessários para realizar o evento de </w:t>
            </w:r>
            <w:r>
              <w:rPr>
                <w:rFonts w:ascii="Arial" w:hAnsi="Arial" w:cs="Arial"/>
                <w:sz w:val="18"/>
                <w:szCs w:val="18"/>
              </w:rPr>
              <w:t xml:space="preserve">acordo com as regras oficiais da modalidade (uniforme, súmulas, apitos, cronômetros, etc.). O árbitro principal deve ser profissional de educação física com registro no CREF (situação ATIVO REGULAR) e/ou ser habilitados por curso específico na modalidade, </w:t>
            </w:r>
            <w:r>
              <w:rPr>
                <w:rFonts w:ascii="Arial" w:hAnsi="Arial" w:cs="Arial"/>
                <w:sz w:val="18"/>
                <w:szCs w:val="18"/>
              </w:rPr>
              <w:t xml:space="preserve">apresentando documentação de experiência de jogos a nível regional ou superior, no momento da assinatura do contrato.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1024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81.920,00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6513"/>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06</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FUTSAL MASCULINO E FEMININO (quadra) – A prestação dos serviços de ar</w:t>
            </w:r>
            <w:r>
              <w:rPr>
                <w:rFonts w:ascii="Arial" w:hAnsi="Arial" w:cs="Arial"/>
                <w:sz w:val="18"/>
                <w:szCs w:val="18"/>
              </w:rPr>
              <w:t xml:space="preserve">bitragem deverá ser de acordo com as Regras Oficiais da Confederação Brasileira de Futsal (CBFS) e conforme o regulamento da competição que será entregue a empresa que prestará o serviço. Toda a prestação dos serviços de arbitragem deverá ser idônea e prof</w:t>
            </w:r>
            <w:r>
              <w:rPr>
                <w:rFonts w:ascii="Arial" w:hAnsi="Arial" w:cs="Arial"/>
                <w:sz w:val="18"/>
                <w:szCs w:val="18"/>
              </w:rPr>
              <w:t xml:space="preserve">issional. Constatada alguma irregularidade pela Comissão Organizadora, a empresa sofrerá notificação a ser emitida pela Contratante. Toda a prestação dos serviços de arbitragem deverá estar dentro das normas da ABNT, INMETRO e CBFS. A equipe de arbitragem </w:t>
            </w:r>
            <w:r>
              <w:rPr>
                <w:rFonts w:ascii="Arial" w:hAnsi="Arial" w:cs="Arial"/>
                <w:sz w:val="18"/>
                <w:szCs w:val="18"/>
              </w:rPr>
              <w:t xml:space="preserve">deverá ser formada por dois árbitros, um secretário e um cronometrista, devidamente uniformizados, e com todos os materiais e insumos necessários para realização do serviço de acordo com as regras oficiais da modalidade (uniforme, súmulas, apitos, cronômet</w:t>
            </w:r>
            <w:r>
              <w:rPr>
                <w:rFonts w:ascii="Arial" w:hAnsi="Arial" w:cs="Arial"/>
                <w:sz w:val="18"/>
                <w:szCs w:val="18"/>
              </w:rPr>
              <w:t xml:space="preserve">ros, etc.). Todos os membros da equipe de arbitragem deverão ser habilitados por curso específico da modalidade, apresentando documentação de experiência de jogos a nível regional ou superior, no momento da assinatura do contrato.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422</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270,00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113.940,00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1533"/>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07</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HANDEBOL MASCULINO E FEMININO – A prestação dos serviços de arbitragem deverá ser de acordo comas Regras Oficiais da Confederação Brasileira de Handebol (</w:t>
            </w:r>
            <w:r>
              <w:rPr>
                <w:rFonts w:ascii="Arial" w:hAnsi="Arial" w:cs="Arial"/>
                <w:sz w:val="18"/>
                <w:szCs w:val="18"/>
              </w:rPr>
              <w:t xml:space="preserve">CBHb</w:t>
            </w:r>
            <w:r>
              <w:rPr>
                <w:rFonts w:ascii="Arial" w:hAnsi="Arial" w:cs="Arial"/>
                <w:sz w:val="18"/>
                <w:szCs w:val="18"/>
              </w:rPr>
              <w:t xml:space="preserve">) e conforme o regulamento da competição que será entregue a empresa que prestará o serviço. Toda a prestação dos serviços de arbitragem deverá ser idônea e profissional. Constatada alguma irregularidade pela Comissão Org</w:t>
            </w:r>
            <w:r>
              <w:rPr>
                <w:rFonts w:ascii="Arial" w:hAnsi="Arial" w:cs="Arial"/>
                <w:sz w:val="18"/>
                <w:szCs w:val="18"/>
              </w:rPr>
              <w:t xml:space="preserve">anizadora, a empresa sofrerá notificação a ser emitida pela Contratante. Toda a prestação dos serviços de arbitragem deverá estar dentro das normas da ABNT, INMETRO e CBH. A equipe de arbitragem deverá ser formada por dois árbitros, um secretário e um cron</w:t>
            </w:r>
            <w:r>
              <w:rPr>
                <w:rFonts w:ascii="Arial" w:hAnsi="Arial" w:cs="Arial"/>
                <w:sz w:val="18"/>
                <w:szCs w:val="18"/>
              </w:rPr>
              <w:t xml:space="preserve">ometrista, devidamente uniformizados, e com todos os materiais e insumos necessários para realização do serviço de acordo com as regras oficiais da modalidade (uniforme, súmulas, apitos, cronômetros, placas, etc.). Todos os membros da equipe de arbitragem </w:t>
            </w:r>
            <w:r>
              <w:rPr>
                <w:rFonts w:ascii="Arial" w:hAnsi="Arial" w:cs="Arial"/>
                <w:sz w:val="18"/>
                <w:szCs w:val="18"/>
              </w:rPr>
              <w:t xml:space="preserve">deverão ser habilitados por curso específico na modalidade, apresentando documentação de experiência de jogos a nível regional ou superior, no momento da assinatura do contrato. Não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294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280,00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82.320,00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4379"/>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08</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ORIENTAÇÂO - A Prestação dos Serviços de Arbitragem deverá ser de qualidade e eficácia dentro das regras da Confederação Brasileira de Orientação (CBO) e conforme o regulamento da competição que será entregue a empresa qu</w:t>
            </w:r>
            <w:r>
              <w:rPr>
                <w:rFonts w:ascii="Arial" w:hAnsi="Arial" w:cs="Arial"/>
                <w:sz w:val="18"/>
                <w:szCs w:val="18"/>
              </w:rPr>
              <w:t xml:space="preserve">e prestará o serviço. Toda a Prestação dos Serviços de Arbitragem deverá ser Isenta e Profissional, se constatada alguma irregularidade pela Comissão Organizadora, a empresa sofrerá notificação a ser emitida pela Contratante. - Toda a Prestação dos Serviço</w:t>
            </w:r>
            <w:r>
              <w:rPr>
                <w:rFonts w:ascii="Arial" w:hAnsi="Arial" w:cs="Arial"/>
                <w:sz w:val="18"/>
                <w:szCs w:val="18"/>
              </w:rPr>
              <w:t xml:space="preserve">s de Arbitragem deverão estar dentro das normas da ABNT, INMETRO, Confederação Brasileira de Orientação e Ministério da Educação. Serão utilizados 2 mapas com percursos diferentes. Dependendo da condição climática, poderá acontecer duas provas simultâneas.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Provas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2.0</w:t>
            </w:r>
            <w:r>
              <w:rPr>
                <w:rFonts w:ascii="Arial" w:hAnsi="Arial" w:cs="Arial" w:eastAsia="Times New Roman"/>
                <w:color w:val="000000"/>
                <w:sz w:val="18"/>
                <w:szCs w:val="18"/>
              </w:rPr>
              <w:t xml:space="preserve">00,00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8.000,00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5093"/>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09</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QUEIMADA FEMININA E MASCULINA - A prestação dos serviços de arbitragem deverá ser de acordo com as Regras do Regulamento Geral dos Jogos Escolares Municipais de Teresópolis (</w:t>
            </w:r>
            <w:r>
              <w:rPr>
                <w:rFonts w:ascii="Arial" w:hAnsi="Arial" w:cs="Arial"/>
                <w:sz w:val="18"/>
                <w:szCs w:val="18"/>
              </w:rPr>
              <w:t xml:space="preserve">JEMs</w:t>
            </w:r>
            <w:r>
              <w:rPr>
                <w:rFonts w:ascii="Arial" w:hAnsi="Arial" w:cs="Arial"/>
                <w:sz w:val="18"/>
                <w:szCs w:val="18"/>
              </w:rPr>
              <w:t xml:space="preserve">) que serão entregues a empresa que prestará o serviço. Toda a prestação dos serviços de arbitragem deverá ser idônea e profissional. Const</w:t>
            </w:r>
            <w:r>
              <w:rPr>
                <w:rFonts w:ascii="Arial" w:hAnsi="Arial" w:cs="Arial"/>
                <w:sz w:val="18"/>
                <w:szCs w:val="18"/>
              </w:rPr>
              <w:t xml:space="preserve">atada alguma irregularidade pela Comissão Organizadora, a empresa sofrerá notificação a   ser emitida pela Contratante. A equipe de arbitragem deverá ser formada por um árbitro formado em educação física com registro no CREF (situação ATIVO REGULAR), dois </w:t>
            </w:r>
            <w:r>
              <w:rPr>
                <w:rFonts w:ascii="Arial" w:hAnsi="Arial" w:cs="Arial"/>
                <w:sz w:val="18"/>
                <w:szCs w:val="18"/>
              </w:rPr>
              <w:t xml:space="preserve">assistentes e um mesário, devidamente uniformizados e com todos os materiais e insumos necessários para realização do serviço de acordo com as regras do regulamento (uniforme, súmulas, apitos, cronômetros, bandeiras entre outros).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252</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175,00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44.100,00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5502"/>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10</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TÊNIS DE MESA - A Prestação dos Serviços de Arbitragem deverá ser de qualidade e eficácia dentro das regras da Confederação Brasileira de Tênis de Mesa (</w:t>
            </w:r>
            <w:r>
              <w:rPr>
                <w:rFonts w:ascii="Arial" w:hAnsi="Arial" w:cs="Arial"/>
                <w:sz w:val="18"/>
                <w:szCs w:val="18"/>
              </w:rPr>
              <w:t xml:space="preserve">CBTM) e conforme o regulamento da competição que será entregue a empresa que prestará o serviço. Toda a Prestação dos Serviços de Arbitragem deverá ser Isenta e Profissional, se constatada alguma irregularidade pela Comissão Organizadora, a empresa sofrerá</w:t>
            </w:r>
            <w:r>
              <w:rPr>
                <w:rFonts w:ascii="Arial" w:hAnsi="Arial" w:cs="Arial"/>
                <w:sz w:val="18"/>
                <w:szCs w:val="18"/>
              </w:rPr>
              <w:t xml:space="preserve"> notificação a ser emitida pela Contratante. - Toda a Prestação dos Serviços de Arbitragem deverão estar dentro das normas da ABNT, INMETRO e Confederação Brasileira de Tênis de Mesa. Todos os membros da equipe de arbitragem deverão ser profissionais de ed</w:t>
            </w:r>
            <w:r>
              <w:rPr>
                <w:rFonts w:ascii="Arial" w:hAnsi="Arial" w:cs="Arial"/>
                <w:sz w:val="18"/>
                <w:szCs w:val="18"/>
              </w:rPr>
              <w:t xml:space="preserve">ucação física com registro no CREF (situação ATIVO REGULAR) e/ou habilitados por curso específico na modalidade, apresentando documentação de experiência de jogos a nível regional ou superior, no momento da assinatura do contrato.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684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140,00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95.760,00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5665"/>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11</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VOLEIBOL   MASCULINO   E   FEMININO   -   A prestação dos serviços de arbitragem deverá ser de acordo com as Regras Oficiais da Confederação Brasileira de Voleibol (CBV) e conforme o regulamento da co</w:t>
            </w:r>
            <w:r>
              <w:rPr>
                <w:rFonts w:ascii="Arial" w:hAnsi="Arial" w:cs="Arial"/>
                <w:sz w:val="18"/>
                <w:szCs w:val="18"/>
              </w:rPr>
              <w:t xml:space="preserve">mpetição que será entregue a empresa que prestará o serviço. Toda a prestação dos serviços de arbitragem deverá ser idônea e profissional. Constatada alguma irregularidade pela Comissão Organizadora, a empresa sofrerá notificação a ser emitida pela Contrat</w:t>
            </w:r>
            <w:r>
              <w:rPr>
                <w:rFonts w:ascii="Arial" w:hAnsi="Arial" w:cs="Arial"/>
                <w:sz w:val="18"/>
                <w:szCs w:val="18"/>
              </w:rPr>
              <w:t xml:space="preserve">ante. Toda a prestação dos serviços de arbitragem deverá estar dentro das normas da ABNT, INMETRO e CBV. A equipe de arbitragem deverá ser formada por dois árbitros e um apontador, devidamente uniformizados, e   com   todos   os materiais e insumos necessá</w:t>
            </w:r>
            <w:r>
              <w:rPr>
                <w:rFonts w:ascii="Arial" w:hAnsi="Arial" w:cs="Arial"/>
                <w:sz w:val="18"/>
                <w:szCs w:val="18"/>
              </w:rPr>
              <w:t xml:space="preserve">rios de acordo com as regras oficiais. Todos os membros da equipe de arbitragem deverão ser habilitados por curso específico da modalidade, apresentando documentação de experiência de jogos a nível regional ou superior no momento da assinatura do contrato.</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294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24</w:t>
            </w:r>
            <w:r>
              <w:rPr>
                <w:rFonts w:ascii="Arial" w:hAnsi="Arial" w:cs="Arial" w:eastAsia="Times New Roman"/>
                <w:color w:val="000000"/>
                <w:sz w:val="18"/>
                <w:szCs w:val="18"/>
              </w:rPr>
              <w:t xml:space="preserve">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70.560,00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r>
        <w:trPr>
          <w:jc w:val="center"/>
          <w:trHeight w:val="6210"/>
        </w:trPr>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12</w:t>
            </w:r>
            <w:r/>
          </w:p>
          <w:p>
            <w:pPr>
              <w:ind w:left="97" w:right="95"/>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r>
            <w:r/>
          </w:p>
        </w:tc>
        <w:tc>
          <w:tcPr>
            <w:tcBorders>
              <w:top w:val="single" w:color="000000" w:sz="4" w:space="0"/>
              <w:left w:val="single" w:color="000000" w:sz="4" w:space="0"/>
              <w:bottom w:val="single" w:color="000000" w:sz="4" w:space="0"/>
              <w:right w:val="single" w:color="000000" w:sz="4" w:space="0"/>
            </w:tcBorders>
            <w:tcW w:w="3686" w:type="dxa"/>
            <w:vAlign w:val="center"/>
            <w:textDirection w:val="lrTb"/>
            <w:noWrap w:val="false"/>
          </w:tcPr>
          <w:p>
            <w:pPr>
              <w:jc w:val="both"/>
              <w:rPr>
                <w:rFonts w:ascii="Arial" w:hAnsi="Arial" w:cs="Arial"/>
                <w:sz w:val="18"/>
                <w:szCs w:val="18"/>
              </w:rPr>
            </w:pPr>
            <w:r>
              <w:rPr>
                <w:rFonts w:ascii="Arial" w:hAnsi="Arial" w:cs="Arial"/>
                <w:sz w:val="18"/>
                <w:szCs w:val="18"/>
              </w:rPr>
              <w:t xml:space="preserve">XADREZ - A pres</w:t>
            </w:r>
            <w:r>
              <w:rPr>
                <w:rFonts w:ascii="Arial" w:hAnsi="Arial" w:cs="Arial"/>
                <w:sz w:val="18"/>
                <w:szCs w:val="18"/>
              </w:rPr>
              <w:t xml:space="preserve">tação dos serviços de arbitragem deverá ser de acordo com as Regras Oficiais da Confederação Brasileira de Jogo de Xadrez (CBX) e conforme o regulamento da competição que será entregue a empresa que prestará o serviço. Toda a prestação dos serviços de arbi</w:t>
            </w:r>
            <w:r>
              <w:rPr>
                <w:rFonts w:ascii="Arial" w:hAnsi="Arial" w:cs="Arial"/>
                <w:sz w:val="18"/>
                <w:szCs w:val="18"/>
              </w:rPr>
              <w:t xml:space="preserve">tragem deverá ser idônea e profissional. Constatada alguma irregularidade pela Comissão Organizadora, a empresa sofrerá notificação a ser emitida pela Contratante. Toda a prestação dos serviços de arbitragem deverá estar dentro das normas da ABNT, INMETRO </w:t>
            </w:r>
            <w:r>
              <w:rPr>
                <w:rFonts w:ascii="Arial" w:hAnsi="Arial" w:cs="Arial"/>
                <w:sz w:val="18"/>
                <w:szCs w:val="18"/>
              </w:rPr>
              <w:t xml:space="preserve">e CBX. A equipe de arbitragem deverá ser formada por um árbitro principal, seis árbitros auxiliares, devidamente uniformizados, e   com   todos   os materiais e insumos necessários para realizar o evento de acordo com as regras oficiais da modalidade (unif</w:t>
            </w:r>
            <w:r>
              <w:rPr>
                <w:rFonts w:ascii="Arial" w:hAnsi="Arial" w:cs="Arial"/>
                <w:sz w:val="18"/>
                <w:szCs w:val="18"/>
              </w:rPr>
              <w:t xml:space="preserve">orme, súmulas, apitos, cronômetros, etc.). Toda equipe deverá ser habilitada por curso específico na modalidade, apresentando documentação de experiência de jogos a nível regional ou superior, no momento da assinatura do contrato. Haverá jogos simultâneos.</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jc w:val="center"/>
              <w:spacing w:before="140"/>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Partidas</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ind w:right="136"/>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604</w:t>
            </w:r>
            <w:r/>
          </w:p>
        </w:tc>
        <w:tc>
          <w:tcPr>
            <w:tcBorders>
              <w:top w:val="single" w:color="000000" w:sz="4" w:space="0"/>
              <w:left w:val="single" w:color="000000" w:sz="4" w:space="0"/>
              <w:bottom w:val="single" w:color="000000" w:sz="4" w:space="0"/>
              <w:right w:val="single" w:color="000000" w:sz="4" w:space="0"/>
            </w:tcBorders>
            <w:tcW w:w="1560" w:type="dxa"/>
            <w:vAlign w:val="center"/>
            <w:textDirection w:val="lrTb"/>
            <w:noWrap w:val="false"/>
          </w:tcPr>
          <w:p>
            <w:pPr>
              <w:ind w:left="320" w:right="258" w:hanging="33"/>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120,00</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ind w:left="301" w:right="256" w:hanging="1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72.480,00</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ind w:left="94" w:right="85"/>
              <w:jc w:val="center"/>
              <w:rPr>
                <w:rFonts w:ascii="Arial" w:hAnsi="Arial" w:cs="Arial" w:eastAsia="Times New Roman"/>
                <w:color w:val="000000"/>
                <w:sz w:val="18"/>
                <w:szCs w:val="18"/>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Times New Roman"/>
                <w:color w:val="000000"/>
                <w:sz w:val="18"/>
                <w:szCs w:val="18"/>
              </w:rPr>
              <w:t xml:space="preserve">18449</w:t>
            </w:r>
            <w:r/>
          </w:p>
        </w:tc>
      </w:tr>
    </w:tbl>
    <w:p>
      <w:pPr>
        <w:pStyle w:val="916"/>
      </w:pPr>
      <w:r/>
      <w:r/>
    </w:p>
    <w:p>
      <w:pPr>
        <w:pStyle w:val="916"/>
      </w:pPr>
      <w:r/>
      <w:r/>
    </w:p>
    <w:tbl>
      <w:tblPr>
        <w:tblpPr w:horzAnchor="margin" w:tblpXSpec="center" w:vertAnchor="text" w:tblpYSpec="outside" w:leftFromText="141" w:topFromText="0" w:rightFromText="141" w:bottomFromText="0"/>
        <w:tblW w:w="106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403"/>
        <w:gridCol w:w="3273"/>
      </w:tblGrid>
      <w:tr>
        <w:trPr>
          <w:trHeight w:val="290"/>
        </w:trPr>
        <w:tc>
          <w:tcPr>
            <w:shd w:val="clear" w:color="auto" w:fill="bfbfbf"/>
            <w:tcW w:w="7403" w:type="dxa"/>
            <w:textDirection w:val="lrTb"/>
            <w:noWrap w:val="false"/>
          </w:tcPr>
          <w:p>
            <w:pPr>
              <w:pStyle w:val="915"/>
              <w:contextualSpacing w:val="0"/>
              <w:ind w:left="0" w:right="49"/>
              <w:jc w:val="right"/>
              <w:spacing w:after="0" w:line="276" w:lineRule="auto"/>
              <w:tabs>
                <w:tab w:val="left" w:pos="851" w:leader="none"/>
              </w:tabs>
              <w:rPr>
                <w:rFonts w:ascii="Arial" w:hAnsi="Arial" w:cs="Arial"/>
                <w:b/>
                <w:bCs/>
                <w:iCs/>
                <w:sz w:val="24"/>
                <w:szCs w:val="24"/>
              </w:rPr>
            </w:pPr>
            <w:r>
              <w:rPr>
                <w:rFonts w:ascii="Arial" w:hAnsi="Arial" w:cs="Arial"/>
                <w:b/>
                <w:bCs/>
                <w:iCs/>
                <w:sz w:val="24"/>
                <w:szCs w:val="24"/>
              </w:rPr>
              <w:t xml:space="preserve">VALOR TOTAL GLOBAL</w:t>
            </w:r>
            <w:r/>
          </w:p>
        </w:tc>
        <w:tc>
          <w:tcPr>
            <w:shd w:val="clear" w:color="auto" w:fill="bfbfbf"/>
            <w:tcW w:w="3273" w:type="dxa"/>
            <w:textDirection w:val="lrTb"/>
            <w:noWrap w:val="false"/>
          </w:tcPr>
          <w:p>
            <w:pPr>
              <w:pStyle w:val="915"/>
              <w:contextualSpacing w:val="0"/>
              <w:ind w:left="0" w:right="49"/>
              <w:jc w:val="both"/>
              <w:spacing w:after="0" w:line="276" w:lineRule="auto"/>
              <w:tabs>
                <w:tab w:val="left" w:pos="851" w:leader="none"/>
              </w:tabs>
              <w:rPr>
                <w:rFonts w:ascii="Arial" w:hAnsi="Arial" w:cs="Arial"/>
                <w:b/>
                <w:bCs/>
                <w:iCs/>
                <w:sz w:val="24"/>
                <w:szCs w:val="24"/>
              </w:rPr>
            </w:pPr>
            <w:r>
              <w:rPr>
                <w:rFonts w:ascii="Arial" w:hAnsi="Arial" w:cs="Arial"/>
                <w:b/>
                <w:bCs/>
                <w:iCs/>
                <w:sz w:val="24"/>
                <w:szCs w:val="24"/>
              </w:rPr>
              <w:t xml:space="preserve">R$ </w:t>
            </w:r>
            <w:r>
              <w:rPr>
                <w:rFonts w:ascii="Arial" w:hAnsi="Arial" w:cs="Arial"/>
                <w:b/>
                <w:bCs/>
                <w:iCs/>
                <w:sz w:val="24"/>
                <w:szCs w:val="24"/>
              </w:rPr>
              <w:t xml:space="preserve">929.440,00</w:t>
            </w:r>
            <w:r/>
          </w:p>
        </w:tc>
      </w:tr>
    </w:tbl>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Sequeira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w:t>
      </w:r>
      <w:r>
        <w:rPr>
          <w:rFonts w:ascii="Arial" w:hAnsi="Arial" w:eastAsia="Arial Unicode MS"/>
          <w:b/>
          <w:sz w:val="24"/>
          <w:szCs w:val="24"/>
        </w:rPr>
        <w:t xml:space="preserve">ria Municipal de 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1.07011-9</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087"/>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08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87"/>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087"/>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w:t>
      </w:r>
      <w:r>
        <w:rPr>
          <w:rFonts w:ascii="Arial" w:hAnsi="Arial" w:eastAsia="Arial"/>
          <w:sz w:val="24"/>
          <w:szCs w:val="24"/>
        </w:rPr>
        <w:t xml:space="preserve">____________________________, portadora do CNPJ XX.XXX.XXX/XXXX-XX com sede na ____________________________, através de seu representante legal infra-assinado, (NOME) __________________________, nacionalidade _________, estado civil _________, profissão __</w:t>
      </w:r>
      <w:r>
        <w:rPr>
          <w:rFonts w:ascii="Arial" w:hAnsi="Arial" w:eastAsia="Arial"/>
          <w:sz w:val="24"/>
          <w:szCs w:val="24"/>
        </w:rPr>
        <w:t xml:space="preserve">_______, portador da cédula de Identidade nº XXXXXXXXXX, expedida pela XXXXX/XX, inscrito no C.P.F. sob o nº XXX.XXX.XXX-XX, residente e domiciliado a _______________________________________ em estrito cumprimento ao previsto no processo administrativo nº </w:t>
      </w:r>
      <w:r>
        <w:rPr>
          <w:rFonts w:ascii="Arial" w:hAnsi="Arial" w:eastAsia="Arial"/>
          <w:sz w:val="24"/>
          <w:szCs w:val="24"/>
        </w:rPr>
        <w:t xml:space="preserve">7.050</w:t>
      </w:r>
      <w:r>
        <w:rPr>
          <w:rFonts w:ascii="Arial" w:hAnsi="Arial" w:eastAsia="Arial"/>
          <w:sz w:val="24"/>
          <w:szCs w:val="24"/>
        </w:rPr>
        <w:t xml:space="preserve">/202</w:t>
      </w:r>
      <w:r>
        <w:rPr>
          <w:rFonts w:ascii="Arial" w:hAnsi="Arial" w:eastAsia="Arial"/>
          <w:sz w:val="24"/>
          <w:szCs w:val="24"/>
        </w:rPr>
        <w:t xml:space="preserve">2</w:t>
      </w:r>
      <w:r>
        <w:rPr>
          <w:rFonts w:ascii="Arial" w:hAnsi="Arial" w:eastAsia="Arial"/>
          <w:sz w:val="24"/>
          <w:szCs w:val="24"/>
        </w:rPr>
        <w:t xml:space="preserve"> e processo licitatório Pregão Eletrônico nº 059/2022</w:t>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w:t>
      </w:r>
      <w:r>
        <w:rPr>
          <w:rFonts w:ascii="Arial" w:hAnsi="Arial" w:eastAsia="Arial"/>
          <w:b/>
          <w:sz w:val="24"/>
          <w:szCs w:val="24"/>
        </w:rPr>
        <w:t xml:space="preserve">MENOR PREÇO GLOBAL</w:t>
      </w:r>
      <w:r>
        <w:rPr>
          <w:rFonts w:ascii="Arial" w:hAnsi="Arial" w:eastAsia="Arial"/>
          <w:b/>
          <w:sz w:val="24"/>
          <w:szCs w:val="24"/>
        </w:rPr>
        <w:t xml:space="preserve"> PARA </w:t>
      </w:r>
      <w:r>
        <w:rPr>
          <w:rFonts w:ascii="Arial" w:hAnsi="Arial" w:eastAsia="Arial"/>
          <w:b/>
          <w:sz w:val="24"/>
          <w:szCs w:val="24"/>
        </w:rPr>
        <w:t xml:space="preserve">REGISTRO DE PREÇOS DE </w:t>
      </w:r>
      <w:r>
        <w:rPr>
          <w:rFonts w:ascii="Arial" w:hAnsi="Arial" w:eastAsia="Arial"/>
          <w:b/>
          <w:sz w:val="24"/>
          <w:szCs w:val="24"/>
        </w:rPr>
        <w:t xml:space="preserve">CONTRATAÇÃO DE EMPRESA ESPECIALIZADA EM SERVIÇOS DE ARBITRAGEM PARA REALIZAÇÃO DE JOGOS ESTUDANTIS DE DIVERSAS MODALIDADES NA CIDADE DE TERESÓPOLIS–RJ</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w:t>
      </w:r>
      <w:r>
        <w:rPr>
          <w:rFonts w:ascii="Arial" w:hAnsi="Arial" w:eastAsia="Arial"/>
          <w:b/>
          <w:sz w:val="24"/>
          <w:szCs w:val="24"/>
        </w:rPr>
        <w:t xml:space="preserve">Educação</w:t>
      </w:r>
      <w:r>
        <w:rPr>
          <w:rFonts w:ascii="Arial" w:hAnsi="Arial" w:eastAsia="Arial"/>
          <w:b/>
          <w:sz w:val="24"/>
          <w:szCs w:val="24"/>
        </w:rPr>
        <w:t xml:space="preserve"> da Prefeitura M</w:t>
      </w:r>
      <w:r>
        <w:rPr>
          <w:rFonts w:ascii="Arial" w:hAnsi="Arial" w:eastAsia="Arial"/>
          <w:b/>
          <w:sz w:val="24"/>
          <w:szCs w:val="24"/>
        </w:rPr>
        <w:t xml:space="preserve"> </w:t>
      </w:r>
      <w:r>
        <w:rPr>
          <w:rFonts w:ascii="Arial" w:hAnsi="Arial" w:eastAsia="Arial"/>
          <w:b/>
          <w:sz w:val="24"/>
          <w:szCs w:val="24"/>
        </w:rPr>
        <w:t xml:space="preserve">unicipal</w:t>
      </w:r>
      <w:r>
        <w:rPr>
          <w:rFonts w:ascii="Arial" w:hAnsi="Arial" w:eastAsia="Arial"/>
          <w:b/>
          <w:sz w:val="24"/>
          <w:szCs w:val="24"/>
        </w:rPr>
        <w:t xml:space="preserve"> de Teresópolis</w:t>
      </w:r>
      <w:r>
        <w:rPr>
          <w:rFonts w:ascii="Arial" w:hAnsi="Arial" w:eastAsia="Arial"/>
          <w:sz w:val="24"/>
          <w:szCs w:val="24"/>
        </w:rPr>
        <w:t xml:space="preserve"> na forma abaixo discriminada, que serão distribuídas conforme solicitação da Secretaria.</w:t>
      </w:r>
      <w:r/>
    </w:p>
    <w:p>
      <w:pPr>
        <w:pStyle w:val="1087"/>
        <w:ind w:left="-709" w:right="-284"/>
        <w:jc w:val="both"/>
        <w:spacing w:before="57" w:after="57" w:line="360" w:lineRule="auto"/>
        <w:rPr>
          <w:rFonts w:ascii="Arial" w:hAnsi="Arial" w:eastAsia="Arial"/>
          <w:sz w:val="24"/>
          <w:szCs w:val="24"/>
        </w:rPr>
      </w:pPr>
      <w:r>
        <w:rPr>
          <w:rFonts w:ascii="Arial" w:hAnsi="Arial" w:eastAsia="Arial"/>
          <w:sz w:val="24"/>
          <w:szCs w:val="24"/>
        </w:rPr>
      </w:r>
      <w:r/>
    </w:p>
    <w:tbl>
      <w:tblPr>
        <w:tblW w:w="10346" w:type="dxa"/>
        <w:tblInd w:w="-639" w:type="dxa"/>
        <w:tblCellMar>
          <w:left w:w="70" w:type="dxa"/>
          <w:right w:w="70" w:type="dxa"/>
        </w:tblCellMar>
        <w:tblLook w:val="04A0" w:firstRow="1" w:lastRow="0" w:firstColumn="1" w:lastColumn="0" w:noHBand="0" w:noVBand="1"/>
      </w:tblPr>
      <w:tblGrid>
        <w:gridCol w:w="851"/>
        <w:gridCol w:w="992"/>
        <w:gridCol w:w="896"/>
        <w:gridCol w:w="1341"/>
        <w:gridCol w:w="3828"/>
        <w:gridCol w:w="1417"/>
        <w:gridCol w:w="1321"/>
      </w:tblGrid>
      <w:tr>
        <w:trPr>
          <w:trHeight w:val="510"/>
        </w:trPr>
        <w:tc>
          <w:tcPr>
            <w:gridSpan w:val="7"/>
            <w:shd w:val="clear" w:color="auto" w:fill="808080"/>
            <w:tcBorders>
              <w:top w:val="single" w:color="auto" w:sz="4" w:space="0"/>
              <w:left w:val="single" w:color="auto" w:sz="4" w:space="0"/>
              <w:bottom w:val="none" w:color="000000" w:sz="4" w:space="0"/>
              <w:right w:val="single" w:color="auto" w:sz="4" w:space="0"/>
            </w:tcBorders>
            <w:tcW w:w="1034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PROPOSTA COMERCIAL</w:t>
            </w:r>
            <w:r/>
          </w:p>
        </w:tc>
      </w:tr>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CÓDIGO</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104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3828"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UNITÁRIO</w:t>
            </w:r>
            <w:r/>
          </w:p>
        </w:tc>
        <w:tc>
          <w:tcPr>
            <w:shd w:val="clear" w:color="auto" w:fill="808080"/>
            <w:tcBorders>
              <w:top w:val="single" w:color="auto" w:sz="4" w:space="0"/>
              <w:left w:val="none" w:color="000000" w:sz="4" w:space="0"/>
              <w:bottom w:val="single" w:color="auto" w:sz="4" w:space="0"/>
              <w:right w:val="single" w:color="auto" w:sz="4" w:space="0"/>
            </w:tcBorders>
            <w:tcW w:w="1321" w:type="dxa"/>
            <w:vAlign w:val="center"/>
            <w:textDirection w:val="lrTb"/>
            <w:noWrap/>
          </w:tcPr>
          <w:p>
            <w:pPr>
              <w:jc w:val="center"/>
              <w:spacing w:line="276" w:lineRule="auto"/>
              <w:rPr>
                <w:rFonts w:ascii="Arial" w:hAnsi="Arial" w:cs="Arial" w:eastAsia="Times New Roman"/>
                <w:color w:val="000000"/>
                <w:lang w:eastAsia="pt-BR"/>
              </w:rPr>
            </w:pPr>
            <w:r>
              <w:rPr>
                <w:rFonts w:ascii="Arial" w:hAnsi="Arial" w:cs="Arial" w:eastAsia="Times New Roman"/>
                <w:color w:val="000000"/>
                <w:lang w:eastAsia="pt-BR"/>
              </w:rPr>
              <w:t xml:space="preserve">VALOR TOTAL</w:t>
            </w:r>
            <w:r/>
          </w:p>
        </w:tc>
      </w:tr>
      <w:tr>
        <w:trPr>
          <w:trHeight w:val="84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72</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PROVAS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ATLETISMO MASCULINO E FEMIN</w:t>
            </w:r>
            <w:r>
              <w:rPr>
                <w:rFonts w:ascii="Arial" w:hAnsi="Arial" w:cs="Arial"/>
                <w:sz w:val="18"/>
                <w:szCs w:val="18"/>
              </w:rPr>
              <w:t xml:space="preserve">INO   - A prestação dos serviços de arbitragem deverá ser de qualidade e eficácia de acordo com as regras oficiais adotadas pela Confederação Brasileira de Atletismo (CBAt) e conforme o regulamento da competição que será entregue a empresa que prestará o s</w:t>
            </w:r>
            <w:r>
              <w:rPr>
                <w:rFonts w:ascii="Arial" w:hAnsi="Arial" w:cs="Arial"/>
                <w:sz w:val="18"/>
                <w:szCs w:val="18"/>
              </w:rPr>
              <w:t xml:space="preserve">erviço. As modalidades que serão oferecidas serão VELOCIDADE, REVEZAMENTO, CORRIDA RÚSTICA, SALTO EM ALTURA, SALTO EM DISTÂNCIA E ARREMESSO DE PESO. Toda a prestação dos serviços de arbitragem deverá ser isenta e profissional. Constatada alguma irregularid</w:t>
            </w:r>
            <w:r>
              <w:rPr>
                <w:rFonts w:ascii="Arial" w:hAnsi="Arial" w:cs="Arial"/>
                <w:sz w:val="18"/>
                <w:szCs w:val="18"/>
              </w:rPr>
              <w:t xml:space="preserve">ade pela Comissão Organizadora, a empresa sofrerá notificação a ser emitida pela Contratante. Toda a prestação dos serviços de arbitragem deverá estar dentro das normas da ABNT, INMETRO e Confederação Brasileira de Atletismo. A equipe deverá de arbitragem </w:t>
            </w:r>
            <w:r>
              <w:rPr>
                <w:rFonts w:ascii="Arial" w:hAnsi="Arial" w:cs="Arial"/>
                <w:sz w:val="18"/>
                <w:szCs w:val="18"/>
              </w:rPr>
              <w:t xml:space="preserve">deverá estar uniformizada, e   com   todos   os   materiais e insumos necessários para realização</w:t>
            </w:r>
            <w:r>
              <w:rPr>
                <w:rFonts w:ascii="Arial" w:hAnsi="Arial" w:cs="Arial"/>
                <w:sz w:val="18"/>
                <w:szCs w:val="18"/>
              </w:rPr>
              <w:t xml:space="preserve"> do serviço de acordo com as regras oficiais da modalidade (uniforme, súmulas, apitos, cronômetros, bandeiras, etc.). A equipe de arbitragem será formada por um árbitro geral, um árbitro responsável por cada modalidade e quatro auxiliares por modalidade. T</w:t>
            </w:r>
            <w:r>
              <w:rPr>
                <w:rFonts w:ascii="Arial" w:hAnsi="Arial" w:cs="Arial"/>
                <w:sz w:val="18"/>
                <w:szCs w:val="18"/>
              </w:rPr>
              <w:t xml:space="preserve">odos os membros da equipe de arbitragem, deverão ser habilitados por curso específico na modalidade, apresentando documentação de experiência em competições a nível regional ou superior, no momento da assinatura do contrato. Haverá modalidades simultâneas.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2</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813</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BADMINTON MASCULINO E FEMININO -   A prestação dos serviços de arbitragem deverá ser de acordo com as Regras Oficiais da </w:t>
            </w:r>
            <w:r>
              <w:rPr>
                <w:rFonts w:ascii="Arial" w:hAnsi="Arial" w:cs="Arial"/>
                <w:sz w:val="18"/>
                <w:szCs w:val="18"/>
              </w:rPr>
              <w:t xml:space="preserve">CBBd</w:t>
            </w:r>
            <w:r>
              <w:rPr>
                <w:rFonts w:ascii="Arial" w:hAnsi="Arial" w:cs="Arial"/>
                <w:sz w:val="18"/>
                <w:szCs w:val="18"/>
              </w:rPr>
              <w:t xml:space="preserve"> e conforme o regulamento da competição que será entregue a empresa que prestará o serviço. Toda a prestação dos serviços de arbitragem dever</w:t>
            </w:r>
            <w:r>
              <w:rPr>
                <w:rFonts w:ascii="Arial" w:hAnsi="Arial" w:cs="Arial"/>
                <w:sz w:val="18"/>
                <w:szCs w:val="18"/>
              </w:rPr>
              <w:t xml:space="preserve">á ser idônea e profissional. Constatada alguma irregularidade pela Comissão Organizadora dos Jogos, a empresa sofrerá notificação a ser emitida pela Contratante. Toda a prestação dos serviços de arbitragem deverá estar dentro das normas da ABNT, INMETRO e </w:t>
            </w:r>
            <w:r>
              <w:rPr>
                <w:rFonts w:ascii="Arial" w:hAnsi="Arial" w:cs="Arial"/>
                <w:sz w:val="18"/>
                <w:szCs w:val="18"/>
              </w:rPr>
              <w:t xml:space="preserve">CBBd</w:t>
            </w:r>
            <w:r>
              <w:rPr>
                <w:rFonts w:ascii="Arial" w:hAnsi="Arial" w:cs="Arial"/>
                <w:sz w:val="18"/>
                <w:szCs w:val="18"/>
              </w:rPr>
              <w:t xml:space="preserve">. A equipe de arbitragem deverá ser formada por cinco árbitros devidamente uniformizados, e com todos os materiais e insumos necessários para realização do serviço de acordo com as regras oficiais da modalidade (uniforme, súmulas, apitos, cronômet</w:t>
            </w:r>
            <w:r>
              <w:rPr>
                <w:rFonts w:ascii="Arial" w:hAnsi="Arial" w:cs="Arial"/>
                <w:sz w:val="18"/>
                <w:szCs w:val="18"/>
              </w:rPr>
              <w:t xml:space="preserve">ros, etc.). Todos os membros da equipe de arbitragem deverão ser habilitados por curso específico na modalidade, apresentando documentação de experiência de jogos a nível regional ou superior, no momento da assinatura do contrato.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8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3</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294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BASQUETE FEMININO   E  </w:t>
            </w:r>
            <w:r>
              <w:rPr>
                <w:rFonts w:ascii="Arial" w:hAnsi="Arial" w:cs="Arial"/>
                <w:sz w:val="18"/>
                <w:szCs w:val="18"/>
              </w:rPr>
              <w:t xml:space="preserve"> MASCULINO   - A prestação dos serviços de arbitragem deverá ser de acordo comas Regras Oficiais da Confederação Brasileira de Basquete (CBB) e conforme o regulamento da competição que será entregue a empresa que prestará o serviço. Toda a prestação dos se</w:t>
            </w:r>
            <w:r>
              <w:rPr>
                <w:rFonts w:ascii="Arial" w:hAnsi="Arial" w:cs="Arial"/>
                <w:sz w:val="18"/>
                <w:szCs w:val="18"/>
              </w:rPr>
              <w:t xml:space="preserve">rviços de arbitragem deverá ser idônea e profissional. Constatada alguma irregularidade pela Comissão Organizadora, a empresa sofrerá notificação a ser emitida pela Contratante. Toda a prestação dos serviços de arbitragem deverá estar dentro das normas da </w:t>
            </w:r>
            <w:r>
              <w:rPr>
                <w:rFonts w:ascii="Arial" w:hAnsi="Arial" w:cs="Arial"/>
                <w:sz w:val="18"/>
                <w:szCs w:val="18"/>
              </w:rPr>
              <w:t xml:space="preserve">ABNT, INMETRO e. A equipe de arbitragem deverá ser formada por do</w:t>
            </w:r>
            <w:r>
              <w:rPr>
                <w:rFonts w:ascii="Arial" w:hAnsi="Arial" w:cs="Arial"/>
                <w:sz w:val="18"/>
                <w:szCs w:val="18"/>
              </w:rPr>
              <w:t xml:space="preserve">is árbitros, um secretário e um cronometrista, devidamente uniformizados, e   com   todos   os materiais e insumos necessários para realização do serviço de acordo com as regras oficiais da modalidade (uniforme, súmulas, apitos, cronômetros, placas e seta,</w:t>
            </w:r>
            <w:r>
              <w:rPr>
                <w:rFonts w:ascii="Arial" w:hAnsi="Arial" w:cs="Arial"/>
                <w:sz w:val="18"/>
                <w:szCs w:val="18"/>
              </w:rPr>
              <w:t xml:space="preserve"> etc.). Todos os membros da equipe de arbitragem deverão ser habilitados por curso específico na modalidade, apresentando documentação de experiência de jogos a nível regional ou superior, no momento da assinatura do contrato. Não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53"/>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4</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105</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CABO DE GUERRA MISTO -   A prestação dos serviços de arbitragem deverá ser de acordo com as Regras do Regulamento Geral dos Jogos Escolares Municipais de Teresópolis (</w:t>
            </w:r>
            <w:r>
              <w:rPr>
                <w:rFonts w:ascii="Arial" w:hAnsi="Arial" w:cs="Arial"/>
                <w:sz w:val="18"/>
                <w:szCs w:val="18"/>
              </w:rPr>
              <w:t xml:space="preserve">JEMs</w:t>
            </w:r>
            <w:r>
              <w:rPr>
                <w:rFonts w:ascii="Arial" w:hAnsi="Arial" w:cs="Arial"/>
                <w:sz w:val="18"/>
                <w:szCs w:val="18"/>
              </w:rPr>
              <w:t xml:space="preserve">) que serão entregues a empresa que prestará o serviço. Toda a prestação dos serviços de arbitragem deverá ser id</w:t>
            </w:r>
            <w:r>
              <w:rPr>
                <w:rFonts w:ascii="Arial" w:hAnsi="Arial" w:cs="Arial"/>
                <w:sz w:val="18"/>
                <w:szCs w:val="18"/>
              </w:rPr>
              <w:t xml:space="preserve">ônea e profissional. Constatada alguma irregularidade pela Comissão Organizadora, a empresa sofrerá notificação a   ser emitida pela Contratante. A equipe de arbitragem deverá ser formada por um árbitro formado em educação física com registro no CREF (situ</w:t>
            </w:r>
            <w:r>
              <w:rPr>
                <w:rFonts w:ascii="Arial" w:hAnsi="Arial" w:cs="Arial"/>
                <w:sz w:val="18"/>
                <w:szCs w:val="18"/>
              </w:rPr>
              <w:t xml:space="preserve">ação ATIVO REGULAR), dois assistentes e um mesário, devidamente uniformizados e com todos os materiais e insumos necessários para realização do serviço de acordo com as regras do regulamento (uniforme, súmulas, apitos, cronômetros, bandeiras entre outros).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5</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1024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DAMAS MASCULINO, FEMININO E MISTO– A prestação dos serviços de arbitragem deverá ser </w:t>
            </w:r>
            <w:r>
              <w:rPr>
                <w:rFonts w:ascii="Arial" w:hAnsi="Arial" w:cs="Arial"/>
                <w:sz w:val="18"/>
                <w:szCs w:val="18"/>
              </w:rPr>
              <w:t xml:space="preserve">de acordo com as Regras Oficiais da Confederação Brasileira de Jogo de Damas (CBJD) e conforme o regulamento da competição que será entregue a empresa que prestará o serviço. Toda a prestação dos serviços de arbitragem deverá ser idônea e profissional. Con</w:t>
            </w:r>
            <w:r>
              <w:rPr>
                <w:rFonts w:ascii="Arial" w:hAnsi="Arial" w:cs="Arial"/>
                <w:sz w:val="18"/>
                <w:szCs w:val="18"/>
              </w:rPr>
              <w:t xml:space="preserve">statada alguma irregularidade pela Comissão Organizadora, a empresa sofrerá notificação a ser emitida pela Contratante. Toda a prestação dos serviços de arbitragem deverá estar dentro das normas da ABNT, INMETRO e CBJD. A equipe de arbitragem deverá ser fo</w:t>
            </w:r>
            <w:r>
              <w:rPr>
                <w:rFonts w:ascii="Arial" w:hAnsi="Arial" w:cs="Arial"/>
                <w:sz w:val="18"/>
                <w:szCs w:val="18"/>
              </w:rPr>
              <w:t xml:space="preserve">rmada por um árbitro principal, seis árbitros auxiliares, devidamente uniformizados, e   com   todos   os materiais e insumos necessários para realizar o evento de acordo com as regras oficiais da modalidade (uniforme, súmulas, apitos, cronômetros, etc.). </w:t>
            </w:r>
            <w:r>
              <w:rPr>
                <w:rFonts w:ascii="Arial" w:hAnsi="Arial" w:cs="Arial"/>
                <w:sz w:val="18"/>
                <w:szCs w:val="18"/>
              </w:rPr>
              <w:t xml:space="preserve">O árbitro principal deve ser profissional de educaç</w:t>
            </w:r>
            <w:r>
              <w:rPr>
                <w:rFonts w:ascii="Arial" w:hAnsi="Arial" w:cs="Arial"/>
                <w:sz w:val="18"/>
                <w:szCs w:val="18"/>
              </w:rPr>
              <w:t xml:space="preserve">ão física com registro no CREF (situação ATIVO REGULAR) e/ou ser habilitados por curso específico na modalidade, apresentando documentação de experiência de jogos a nível regional ou superior, no momento da assinatura do contrato.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578"/>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6</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422</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FUTSAL MASCULINO E FEMININO (quadra) – A prestação dos serviços de ar</w:t>
            </w:r>
            <w:r>
              <w:rPr>
                <w:rFonts w:ascii="Arial" w:hAnsi="Arial" w:cs="Arial"/>
                <w:sz w:val="18"/>
                <w:szCs w:val="18"/>
              </w:rPr>
              <w:t xml:space="preserve">bitragem deverá ser de acordo com as Regras Oficiais da Confederação Brasileira de Futsal (CBFS) e conforme o regulamento da competição que será entregue a empresa que prestará o serviço. Toda a prestação dos serviços de arbitragem deverá ser idônea e prof</w:t>
            </w:r>
            <w:r>
              <w:rPr>
                <w:rFonts w:ascii="Arial" w:hAnsi="Arial" w:cs="Arial"/>
                <w:sz w:val="18"/>
                <w:szCs w:val="18"/>
              </w:rPr>
              <w:t xml:space="preserve">issional. Constatada alguma irregularidade pela Comissão Organizadora, a empresa sofrerá notificação a ser emitida pela Contratante. Toda a prestação dos serviços de arbitragem deverá estar dentro das normas da ABNT, INMETRO e CBFS. A equipe de arbitragem </w:t>
            </w:r>
            <w:r>
              <w:rPr>
                <w:rFonts w:ascii="Arial" w:hAnsi="Arial" w:cs="Arial"/>
                <w:sz w:val="18"/>
                <w:szCs w:val="18"/>
              </w:rPr>
              <w:t xml:space="preserve">deverá ser formada por dois árbitros, um secretário e um cronometrista, devidamente uniformizados, e com todos os materiais e insumos necessários para realização do serviço de acordo com as regras oficiais da modalidade (uniforme, súmulas, apitos, cronômet</w:t>
            </w:r>
            <w:r>
              <w:rPr>
                <w:rFonts w:ascii="Arial" w:hAnsi="Arial" w:cs="Arial"/>
                <w:sz w:val="18"/>
                <w:szCs w:val="18"/>
              </w:rPr>
              <w:t xml:space="preserve">ros, etc.). Todos os membros da equipe de arbitragem deverão ser habilitados por curso específico da modalidade, apresentando documentação de experiência de jogos a nível regional ou superior, no momento da assinatura do contrato.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714"/>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7</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294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HANDEBOL MASCULINO E FEMININO – A prestação dos serviços de arbitragem deverá ser de acordo comas Regras Oficiais da Confederação Brasileira de Handebol (</w:t>
            </w:r>
            <w:r>
              <w:rPr>
                <w:rFonts w:ascii="Arial" w:hAnsi="Arial" w:cs="Arial"/>
                <w:sz w:val="18"/>
                <w:szCs w:val="18"/>
              </w:rPr>
              <w:t xml:space="preserve">CBHb</w:t>
            </w:r>
            <w:r>
              <w:rPr>
                <w:rFonts w:ascii="Arial" w:hAnsi="Arial" w:cs="Arial"/>
                <w:sz w:val="18"/>
                <w:szCs w:val="18"/>
              </w:rPr>
              <w:t xml:space="preserve">) e conforme o regulamento da competição que será entregue a empresa </w:t>
            </w:r>
            <w:r>
              <w:rPr>
                <w:rFonts w:ascii="Arial" w:hAnsi="Arial" w:cs="Arial"/>
                <w:sz w:val="18"/>
                <w:szCs w:val="18"/>
              </w:rPr>
              <w:t xml:space="preserve">que prestará o serviço. Toda a prestação dos serviços de arbitragem deverá ser idônea e profissional. Constatada alguma irregularidade pela Comissão Organizadora, a empresa sofrerá notificação a ser emitida pela Contratante. Toda a prestação dos serviços d</w:t>
            </w:r>
            <w:r>
              <w:rPr>
                <w:rFonts w:ascii="Arial" w:hAnsi="Arial" w:cs="Arial"/>
                <w:sz w:val="18"/>
                <w:szCs w:val="18"/>
              </w:rPr>
              <w:t xml:space="preserve">e arbitragem deverá estar dentro das normas da ABNT, INMETRO e CBH. A equipe de arbitragem deverá ser formada por dois árbitros, um secretário e um cronometrista, devidamente uniformizados, e com todos os materiais e insumos necessários para realização do </w:t>
            </w:r>
            <w:r>
              <w:rPr>
                <w:rFonts w:ascii="Arial" w:hAnsi="Arial" w:cs="Arial"/>
                <w:sz w:val="18"/>
                <w:szCs w:val="18"/>
              </w:rPr>
              <w:t xml:space="preserve">serviço de acordo com as regras oficiais da modalidade (uniforme, súmulas, apitos, cronômetros, placas,</w:t>
            </w:r>
            <w:r>
              <w:rPr>
                <w:rFonts w:ascii="Arial" w:hAnsi="Arial" w:cs="Arial"/>
                <w:sz w:val="18"/>
                <w:szCs w:val="18"/>
              </w:rPr>
              <w:t xml:space="preserve"> etc.). Todos os membros da equipe de arbitragem deverão ser habilitados por curso específico na modalidade, apresentando documentação de experiência de jogos a nível regional ou superior, no momento da assinatura do contrato. Não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98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8</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PROVAS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ORIENTAÇÂO - A Prestação dos Serviços de Arbitragem deverá ser de qualidade e eficácia dentro das regras da Confederação Brasileira de Orientação (CBO) e conforme o regulamento da competição que será entregue a empresa qu</w:t>
            </w:r>
            <w:r>
              <w:rPr>
                <w:rFonts w:ascii="Arial" w:hAnsi="Arial" w:cs="Arial"/>
                <w:sz w:val="18"/>
                <w:szCs w:val="18"/>
              </w:rPr>
              <w:t xml:space="preserve">e prestará o serviço. Toda a Prestação dos Serviços de Arbitragem deverá ser Isenta e Profissional, se constatada alguma irregularidade pela Comissão Organizadora, a empresa sofrerá notificação a ser emitida pela Contratante. - Toda a Prestação dos Serviço</w:t>
            </w:r>
            <w:r>
              <w:rPr>
                <w:rFonts w:ascii="Arial" w:hAnsi="Arial" w:cs="Arial"/>
                <w:sz w:val="18"/>
                <w:szCs w:val="18"/>
              </w:rPr>
              <w:t xml:space="preserve">s de Arbitragem deverão estar dentro das normas da ABNT, INMETRO, Confederação Brasileira de Orientação e Ministério da Educação. Serão utilizados 2 mapas com percursos diferentes. Dependendo da condição climática, poderá acontecer duas provas simultâneas.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69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9</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252</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QUEIMADA FEMININA E MASCULINA - A prestação dos serviços de arbitragem deverá ser de acordo com as Regras do Regulamento Geral dos Jogos Escolares Municipais de Teresópolis (</w:t>
            </w:r>
            <w:r>
              <w:rPr>
                <w:rFonts w:ascii="Arial" w:hAnsi="Arial" w:cs="Arial"/>
                <w:sz w:val="18"/>
                <w:szCs w:val="18"/>
              </w:rPr>
              <w:t xml:space="preserve">JEMs</w:t>
            </w:r>
            <w:r>
              <w:rPr>
                <w:rFonts w:ascii="Arial" w:hAnsi="Arial" w:cs="Arial"/>
                <w:sz w:val="18"/>
                <w:szCs w:val="18"/>
              </w:rPr>
              <w:t xml:space="preserve">) que serão entregues a empresa que prestará o serviço. Toda a prestação dos serviços de arbitragem deverá ser idônea e profissional. Const</w:t>
            </w:r>
            <w:r>
              <w:rPr>
                <w:rFonts w:ascii="Arial" w:hAnsi="Arial" w:cs="Arial"/>
                <w:sz w:val="18"/>
                <w:szCs w:val="18"/>
              </w:rPr>
              <w:t xml:space="preserve">atada alguma irregularidade pela Comissão Organizadora, a empresa sofrerá notificação a   ser emitida pela Contratante. A equipe de arbitragem deverá ser formada por um árbitro formado em educação física com registro no CREF (situação ATIVO REGULAR), dois </w:t>
            </w:r>
            <w:r>
              <w:rPr>
                <w:rFonts w:ascii="Arial" w:hAnsi="Arial" w:cs="Arial"/>
                <w:sz w:val="18"/>
                <w:szCs w:val="18"/>
              </w:rPr>
              <w:t xml:space="preserve">assistentes e um mesário, devidamente uniformizados e com todos os materiais e insumos necessários para realização do serviço de acordo com as regras do regulamento (uniforme, súmulas, apitos, cronômetros, bandeiras entre outros).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987"/>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10</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684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TÊNIS DE MESA - A Prestação dos Serviços de Arbitragem deverá ser de qualidade e eficácia dentro das regras da Confederação Brasileira de Tênis de Mesa (CBTM) e conforme o regulamento da competição que será entregue a empresa que prestará o </w:t>
            </w:r>
            <w:r>
              <w:rPr>
                <w:rFonts w:ascii="Arial" w:hAnsi="Arial" w:cs="Arial"/>
                <w:sz w:val="18"/>
                <w:szCs w:val="18"/>
              </w:rPr>
              <w:t xml:space="preserve">serviço. Toda a Prestação dos Serviços de Arbitragem deverá ser Isenta e Profissional, se constatada alguma irregularidade pela Comissão Organizadora, a empresa sofrerá</w:t>
            </w:r>
            <w:r>
              <w:rPr>
                <w:rFonts w:ascii="Arial" w:hAnsi="Arial" w:cs="Arial"/>
                <w:sz w:val="18"/>
                <w:szCs w:val="18"/>
              </w:rPr>
              <w:t xml:space="preserve"> notificação a ser emitida pela Contratante. - Toda a Prestação dos Serviços de Arbitragem deverão estar dentro das normas da ABNT, INMETRO e Confederação Brasileira de Tênis de Mesa. Todos os membros da equipe de arbitragem deverão ser profissionais de ed</w:t>
            </w:r>
            <w:r>
              <w:rPr>
                <w:rFonts w:ascii="Arial" w:hAnsi="Arial" w:cs="Arial"/>
                <w:sz w:val="18"/>
                <w:szCs w:val="18"/>
              </w:rPr>
              <w:t xml:space="preserve">ucação física com registro no CREF (situação ATIVO REGULAR) e/ou habilitados por curso específico na modalidade, apresentando documentação de experiência de jogos a nível regional ou superior, no momento da assinatura do contrato.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690"/>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11</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294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VOLEIBOL   MASCULINO   E   FEMININO   -   A prestação dos serviços de arbitragem deverá ser de acordo com as Regras Oficiais da Confederação Brasileira de Voleibol (CBV) e conforme o regulamento da co</w:t>
            </w:r>
            <w:r>
              <w:rPr>
                <w:rFonts w:ascii="Arial" w:hAnsi="Arial" w:cs="Arial"/>
                <w:sz w:val="18"/>
                <w:szCs w:val="18"/>
              </w:rPr>
              <w:t xml:space="preserve">mpetição que será entregue a empresa que prestará o serviço. Toda a prestação dos serviços de arbitragem deverá ser idônea e profissional. Constatada alguma irregularidade pela Comissão Organizadora, a empresa sofrerá notificação a ser emitida pela Contrat</w:t>
            </w:r>
            <w:r>
              <w:rPr>
                <w:rFonts w:ascii="Arial" w:hAnsi="Arial" w:cs="Arial"/>
                <w:sz w:val="18"/>
                <w:szCs w:val="18"/>
              </w:rPr>
              <w:t xml:space="preserve">ante. Toda a prestação dos serviços de arbitragem deverá estar dentro das normas da ABNT, INMETRO e CBV. A equipe de arbitragem deverá ser formada por dois árbitros e um apontador, devidamente uniformizados, e   com   todos   os materiais e insumos necessá</w:t>
            </w:r>
            <w:r>
              <w:rPr>
                <w:rFonts w:ascii="Arial" w:hAnsi="Arial" w:cs="Arial"/>
                <w:sz w:val="18"/>
                <w:szCs w:val="18"/>
              </w:rPr>
              <w:t xml:space="preserve">rios de acordo com as regras oficiais. Todos os membros da equipe de arbitragem deverão ser habilitados por curso específico da modalidade, apresentando documentação de experiência de jogos a nível regional ou superior no momento da assinatura do contrato.</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1242"/>
        </w:trPr>
        <w:tc>
          <w:tcPr>
            <w:shd w:val="clear" w:color="000000" w:fill="ffffff"/>
            <w:tcBorders>
              <w:top w:val="single" w:color="auto" w:sz="4" w:space="0"/>
              <w:left w:val="single" w:color="auto" w:sz="4" w:space="0"/>
              <w:bottom w:val="single" w:color="auto" w:sz="4" w:space="0"/>
              <w:right w:val="single" w:color="auto" w:sz="4" w:space="0"/>
            </w:tcBorders>
            <w:tcW w:w="851"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12</w:t>
            </w:r>
            <w:r/>
          </w:p>
        </w:tc>
        <w:tc>
          <w:tcPr>
            <w:shd w:val="clear" w:color="000000" w:fill="ffffff"/>
            <w:tcBorders>
              <w:top w:val="single" w:color="auto" w:sz="4" w:space="0"/>
              <w:left w:val="none" w:color="000000" w:sz="4" w:space="0"/>
              <w:bottom w:val="single" w:color="auto" w:sz="4" w:space="0"/>
              <w:right w:val="single" w:color="auto" w:sz="4" w:space="0"/>
            </w:tcBorders>
            <w:tcW w:w="992" w:type="dxa"/>
            <w:textDirection w:val="lrTb"/>
            <w:noWrap/>
          </w:tcPr>
          <w:p>
            <w:pPr>
              <w:jc w:val="center"/>
              <w:spacing w:line="276" w:lineRule="auto"/>
              <w:tabs>
                <w:tab w:val="left" w:pos="1134" w:leader="none"/>
              </w:tabs>
              <w:rPr>
                <w:rFonts w:ascii="Arial" w:hAnsi="Arial" w:cs="Arial"/>
                <w:sz w:val="24"/>
                <w:szCs w:val="24"/>
              </w:rPr>
            </w:pPr>
            <w:r>
              <w:rPr>
                <w:rFonts w:ascii="Arial" w:hAnsi="Arial" w:cs="Arial"/>
                <w:sz w:val="24"/>
                <w:szCs w:val="24"/>
              </w:rPr>
              <w:t xml:space="preserve">18449</w:t>
            </w:r>
            <w:r/>
          </w:p>
        </w:tc>
        <w:tc>
          <w:tcPr>
            <w:shd w:val="clear" w:color="ffffcc" w:fill="ffffff"/>
            <w:tcBorders>
              <w:top w:val="single" w:color="auto" w:sz="4" w:space="0"/>
              <w:left w:val="none" w:color="000000" w:sz="4" w:space="0"/>
              <w:bottom w:val="single" w:color="auto" w:sz="4" w:space="0"/>
              <w:right w:val="single" w:color="auto" w:sz="4" w:space="0"/>
            </w:tcBorders>
            <w:tcW w:w="896"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604</w:t>
            </w:r>
            <w:r/>
          </w:p>
        </w:tc>
        <w:tc>
          <w:tcPr>
            <w:shd w:val="clear" w:color="ffffcc" w:fill="ffffff"/>
            <w:tcBorders>
              <w:top w:val="single" w:color="auto" w:sz="4" w:space="0"/>
              <w:left w:val="none" w:color="000000" w:sz="4" w:space="0"/>
              <w:bottom w:val="single" w:color="auto" w:sz="4" w:space="0"/>
              <w:right w:val="single" w:color="auto" w:sz="4" w:space="0"/>
            </w:tcBorders>
            <w:tcW w:w="1041" w:type="dxa"/>
            <w:textDirection w:val="lrTb"/>
            <w:noWrap w:val="false"/>
          </w:tcPr>
          <w:p>
            <w:pPr>
              <w:jc w:val="center"/>
              <w:spacing w:line="276" w:lineRule="auto"/>
              <w:tabs>
                <w:tab w:val="left" w:pos="1134" w:leader="none"/>
              </w:tabs>
              <w:rPr>
                <w:rFonts w:ascii="Arial" w:hAnsi="Arial" w:cs="Arial"/>
                <w:sz w:val="24"/>
                <w:szCs w:val="24"/>
              </w:rPr>
            </w:pPr>
            <w:r>
              <w:rPr>
                <w:rFonts w:ascii="Arial" w:hAnsi="Arial" w:cs="Arial" w:eastAsia="Times New Roman"/>
                <w:color w:val="000000"/>
                <w:sz w:val="24"/>
                <w:szCs w:val="24"/>
              </w:rPr>
              <w:t xml:space="preserve">PARTIDAS</w:t>
            </w:r>
            <w:r/>
          </w:p>
        </w:tc>
        <w:tc>
          <w:tcPr>
            <w:shd w:val="clear" w:color="ffffcc" w:fill="ffffff"/>
            <w:tcBorders>
              <w:top w:val="single" w:color="auto" w:sz="4" w:space="0"/>
              <w:left w:val="none" w:color="000000" w:sz="4" w:space="0"/>
              <w:bottom w:val="single" w:color="auto" w:sz="4" w:space="0"/>
              <w:right w:val="single" w:color="auto" w:sz="4" w:space="0"/>
            </w:tcBorders>
            <w:tcW w:w="3828" w:type="dxa"/>
            <w:vAlign w:val="center"/>
            <w:textDirection w:val="lrTb"/>
            <w:noWrap w:val="false"/>
          </w:tcPr>
          <w:p>
            <w:pPr>
              <w:jc w:val="both"/>
              <w:spacing w:line="276" w:lineRule="auto"/>
              <w:rPr>
                <w:rFonts w:ascii="Arial" w:hAnsi="Arial" w:cs="Arial"/>
                <w:sz w:val="24"/>
                <w:szCs w:val="24"/>
              </w:rPr>
            </w:pPr>
            <w:r>
              <w:rPr>
                <w:rFonts w:ascii="Arial" w:hAnsi="Arial" w:cs="Arial"/>
                <w:sz w:val="18"/>
                <w:szCs w:val="18"/>
              </w:rPr>
              <w:t xml:space="preserve">X</w:t>
            </w:r>
            <w:r>
              <w:rPr>
                <w:rFonts w:ascii="Arial" w:hAnsi="Arial" w:cs="Arial"/>
                <w:sz w:val="18"/>
                <w:szCs w:val="18"/>
              </w:rPr>
              <w:t xml:space="preserve">ADREZ - A prestação dos serviços de arbitragem deverá ser de acordo com as Regras Oficiais da Confederação Brasileira de Jogo de Xadrez (CBX) e conforme o regulamento da competição que será entregue a empresa que prestará o serviço. Toda a prestação dos se</w:t>
            </w:r>
            <w:r>
              <w:rPr>
                <w:rFonts w:ascii="Arial" w:hAnsi="Arial" w:cs="Arial"/>
                <w:sz w:val="18"/>
                <w:szCs w:val="18"/>
              </w:rPr>
              <w:t xml:space="preserve">rviços de arbitragem deverá ser idônea e profissional. Constatada alguma irregularidade pela Comissão Organizadora, a empresa sofrerá notificação a ser emitida pela Contratante. Toda a prestação dos serviços de arbitragem deverá estar dentro das normas da </w:t>
            </w:r>
            <w:r>
              <w:rPr>
                <w:rFonts w:ascii="Arial" w:hAnsi="Arial" w:cs="Arial"/>
                <w:sz w:val="18"/>
                <w:szCs w:val="18"/>
              </w:rPr>
              <w:t xml:space="preserve">ABNT, INMETRO </w:t>
            </w:r>
            <w:r>
              <w:rPr>
                <w:rFonts w:ascii="Arial" w:hAnsi="Arial" w:cs="Arial"/>
                <w:sz w:val="18"/>
                <w:szCs w:val="18"/>
              </w:rPr>
              <w:t xml:space="preserve">e CBX. A equipe de arbitragem deverá ser formada por um árbitro principal, seis árbitros auxiliares, devidamente uniformizados, e   com   todos   os materiais e insumos necessários para realizar o evento de acordo com as regras oficiais da modalidade (unif</w:t>
            </w:r>
            <w:r>
              <w:rPr>
                <w:rFonts w:ascii="Arial" w:hAnsi="Arial" w:cs="Arial"/>
                <w:sz w:val="18"/>
                <w:szCs w:val="18"/>
              </w:rPr>
              <w:t xml:space="preserve">orme, súmulas, apitos, cronômetros, etc.). Toda equipe deverá ser habilitada por curso específico na modalidade, apresentando documentação de experiência de jogos a nível regional ou superior, no momento da assinatura do contrato. Haverá jogos simultâneos.</w:t>
            </w:r>
            <w:r/>
          </w:p>
        </w:tc>
        <w:tc>
          <w:tcPr>
            <w:shd w:val="clear" w:color="auto" w:fill="auto"/>
            <w:tcBorders>
              <w:top w:val="single" w:color="auto" w:sz="4" w:space="0"/>
              <w:left w:val="none" w:color="000000" w:sz="4" w:space="0"/>
              <w:bottom w:val="single" w:color="auto" w:sz="4" w:space="0"/>
              <w:right w:val="single" w:color="auto" w:sz="4" w:space="0"/>
            </w:tcBorders>
            <w:tcW w:w="1417"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321" w:type="dxa"/>
            <w:textDirection w:val="lrTb"/>
            <w:noWrap/>
          </w:tcPr>
          <w:p>
            <w:pPr>
              <w:jc w:val="both"/>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087"/>
        <w:jc w:val="both"/>
        <w:spacing w:line="276" w:lineRule="auto"/>
        <w:rPr>
          <w:rFonts w:ascii="Arial" w:hAnsi="Arial" w:cs="Arial" w:eastAsia="Arial"/>
          <w:b/>
          <w:sz w:val="10"/>
          <w:szCs w:val="10"/>
        </w:rPr>
      </w:pPr>
      <w:r>
        <w:rPr>
          <w:rFonts w:ascii="Arial" w:hAnsi="Arial" w:cs="Arial" w:eastAsia="Arial"/>
          <w:b/>
          <w:sz w:val="10"/>
          <w:szCs w:val="10"/>
        </w:rPr>
      </w:r>
      <w:r/>
    </w:p>
    <w:tbl>
      <w:tblPr>
        <w:tblW w:w="10632"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372"/>
        <w:gridCol w:w="3260"/>
      </w:tblGrid>
      <w:tr>
        <w:trPr/>
        <w:tc>
          <w:tcPr>
            <w:shd w:val="clear" w:color="auto" w:fill="bfbfbf"/>
            <w:tcW w:w="7372" w:type="dxa"/>
            <w:textDirection w:val="lrTb"/>
            <w:noWrap w:val="false"/>
          </w:tcPr>
          <w:p>
            <w:pPr>
              <w:pStyle w:val="915"/>
              <w:contextualSpacing w:val="0"/>
              <w:ind w:left="0" w:right="49"/>
              <w:jc w:val="right"/>
              <w:spacing w:after="0" w:line="276" w:lineRule="auto"/>
              <w:tabs>
                <w:tab w:val="left" w:pos="851" w:leader="none"/>
              </w:tabs>
              <w:rPr>
                <w:rFonts w:ascii="Arial" w:hAnsi="Arial" w:cs="Arial"/>
                <w:b/>
                <w:bCs/>
                <w:iCs/>
                <w:color w:val="000000"/>
                <w:sz w:val="24"/>
                <w:szCs w:val="24"/>
              </w:rPr>
            </w:pPr>
            <w:r>
              <w:rPr>
                <w:rFonts w:ascii="Arial" w:hAnsi="Arial" w:cs="Arial"/>
                <w:b/>
                <w:bCs/>
                <w:iCs/>
                <w:color w:val="000000"/>
                <w:sz w:val="24"/>
                <w:szCs w:val="24"/>
              </w:rPr>
              <w:t xml:space="preserve">VALOR TOTAL</w:t>
            </w:r>
            <w:r>
              <w:rPr>
                <w:rFonts w:ascii="Arial" w:hAnsi="Arial" w:cs="Arial"/>
                <w:b/>
                <w:bCs/>
                <w:iCs/>
                <w:color w:val="000000"/>
                <w:sz w:val="24"/>
                <w:szCs w:val="24"/>
              </w:rPr>
              <w:t xml:space="preserve"> GLOBAL</w:t>
            </w:r>
            <w:r/>
          </w:p>
        </w:tc>
        <w:tc>
          <w:tcPr>
            <w:shd w:val="clear" w:color="auto" w:fill="bfbfbf"/>
            <w:tcW w:w="3260" w:type="dxa"/>
            <w:textDirection w:val="lrTb"/>
            <w:noWrap w:val="false"/>
          </w:tcPr>
          <w:p>
            <w:pPr>
              <w:pStyle w:val="915"/>
              <w:contextualSpacing w:val="0"/>
              <w:ind w:left="0" w:right="49"/>
              <w:jc w:val="both"/>
              <w:spacing w:after="0" w:line="276" w:lineRule="auto"/>
              <w:tabs>
                <w:tab w:val="left" w:pos="851" w:leader="none"/>
              </w:tabs>
              <w:rPr>
                <w:rFonts w:ascii="Arial" w:hAnsi="Arial" w:cs="Arial"/>
                <w:b/>
                <w:bCs/>
                <w:iCs/>
                <w:color w:val="FF0000"/>
                <w:sz w:val="24"/>
                <w:szCs w:val="24"/>
              </w:rPr>
            </w:pPr>
            <w:r>
              <w:rPr>
                <w:rFonts w:ascii="Arial" w:hAnsi="Arial" w:cs="Arial"/>
                <w:b/>
                <w:bCs/>
                <w:iCs/>
                <w:color w:val="FF0000"/>
                <w:sz w:val="24"/>
                <w:szCs w:val="24"/>
              </w:rPr>
              <w:t xml:space="preserve">R$ </w:t>
            </w:r>
            <w:r>
              <w:rPr>
                <w:rFonts w:ascii="Arial" w:hAnsi="Arial" w:cs="Arial"/>
                <w:b/>
                <w:bCs/>
                <w:iCs/>
                <w:color w:val="FF0000"/>
                <w:sz w:val="24"/>
                <w:szCs w:val="24"/>
              </w:rPr>
              <w:t xml:space="preserve">XXX,XX</w:t>
            </w:r>
            <w:r/>
          </w:p>
        </w:tc>
      </w:tr>
    </w:tbl>
    <w:p>
      <w:pPr>
        <w:pStyle w:val="915"/>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087"/>
        <w:ind w:left="-709" w:right="-284"/>
        <w:jc w:val="both"/>
        <w:spacing w:before="57" w:after="57" w:line="360" w:lineRule="auto"/>
        <w:rPr>
          <w:rFonts w:ascii="Arial" w:hAnsi="Arial" w:eastAsia="Arial"/>
          <w:sz w:val="24"/>
          <w:szCs w:val="24"/>
        </w:rPr>
      </w:pPr>
      <w:r>
        <w:rPr>
          <w:rFonts w:ascii="Arial" w:hAnsi="Arial" w:eastAsia="Arial"/>
          <w:sz w:val="24"/>
          <w:szCs w:val="24"/>
        </w:rPr>
      </w:r>
      <w:r/>
    </w:p>
    <w:p>
      <w:pPr>
        <w:pStyle w:val="915"/>
        <w:contextualSpacing w:val="0"/>
        <w:ind w:left="0" w:right="49"/>
        <w:jc w:val="both"/>
        <w:spacing w:before="57" w:after="57" w:line="276" w:lineRule="auto"/>
        <w:tabs>
          <w:tab w:val="left" w:pos="851" w:leader="none"/>
        </w:tabs>
        <w:rPr>
          <w:rFonts w:ascii="Arial" w:hAnsi="Arial"/>
          <w:i/>
        </w:rPr>
      </w:pPr>
      <w:r>
        <w:rPr>
          <w:rFonts w:ascii="Arial" w:hAnsi="Arial"/>
          <w:i/>
        </w:rPr>
      </w:r>
      <w:r/>
    </w:p>
    <w:p>
      <w:pPr>
        <w:pStyle w:val="915"/>
        <w:contextualSpacing w:val="0"/>
        <w:ind w:left="0" w:right="49"/>
        <w:jc w:val="both"/>
        <w:spacing w:before="57" w:after="57" w:line="276" w:lineRule="auto"/>
        <w:tabs>
          <w:tab w:val="left" w:pos="851" w:leader="none"/>
        </w:tabs>
        <w:rPr>
          <w:rFonts w:ascii="Arial" w:hAnsi="Arial"/>
          <w:i/>
        </w:rPr>
      </w:pPr>
      <w:r>
        <w:rPr>
          <w:rFonts w:ascii="Arial" w:hAnsi="Arial"/>
          <w:i/>
        </w:rPr>
        <w:t xml:space="preserve">OBS.:O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087"/>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087"/>
        <w:jc w:val="both"/>
        <w:spacing w:before="57" w:after="57"/>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p>
      <w:pPr>
        <w:pStyle w:val="1087"/>
        <w:jc w:val="both"/>
        <w:spacing w:before="57" w:after="57"/>
        <w:rPr>
          <w:rFonts w:ascii="Arial" w:hAnsi="Arial" w:eastAsia="Arial"/>
          <w:sz w:val="18"/>
        </w:rPr>
      </w:pPr>
      <w:r>
        <w:rPr>
          <w:rFonts w:ascii="Arial" w:hAnsi="Arial" w:eastAsia="Arial"/>
          <w:sz w:val="18"/>
        </w:rPr>
        <w:t xml:space="preserve">Proposta escrita, impressa nos moldes do Edital</w:t>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both"/>
        <w:spacing w:before="57" w:after="57"/>
        <w:rPr>
          <w:rFonts w:ascii="Arial" w:hAnsi="Arial" w:eastAsia="Arial"/>
          <w:sz w:val="18"/>
        </w:rPr>
      </w:pPr>
      <w:r>
        <w:rPr>
          <w:rFonts w:ascii="Arial" w:hAnsi="Arial" w:eastAsia="Arial"/>
          <w:sz w:val="18"/>
        </w:rPr>
      </w:r>
      <w:r/>
    </w:p>
    <w:p>
      <w:pPr>
        <w:pStyle w:val="1087"/>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87"/>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87"/>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087"/>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 </w:t>
      </w:r>
      <w:r>
        <w:rPr>
          <w:rFonts w:ascii="Arial" w:hAnsi="Arial" w:cs="Arial" w:eastAsia="Arial"/>
          <w:sz w:val="24"/>
          <w:szCs w:val="24"/>
        </w:rPr>
        <w:t xml:space="preserve">processo administrativo</w:t>
      </w:r>
      <w:r>
        <w:rPr>
          <w:rFonts w:ascii="Arial" w:hAnsi="Arial" w:cs="Arial" w:eastAsia="Arial"/>
          <w:sz w:val="24"/>
          <w:szCs w:val="24"/>
        </w:rPr>
        <w:t xml:space="preserve"> nº 7.050</w:t>
      </w:r>
      <w:r>
        <w:rPr>
          <w:rFonts w:ascii="Arial" w:hAnsi="Arial" w:cs="Arial" w:eastAsia="Arial"/>
          <w:sz w:val="24"/>
          <w:szCs w:val="24"/>
        </w:rPr>
        <w:t xml:space="preserve">/202</w:t>
      </w:r>
      <w:r>
        <w:rPr>
          <w:rFonts w:ascii="Arial" w:hAnsi="Arial" w:cs="Arial" w:eastAsia="Arial"/>
          <w:sz w:val="24"/>
          <w:szCs w:val="24"/>
        </w:rPr>
        <w:t xml:space="preserve">2,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eastAsia="Arial"/>
          <w:sz w:val="24"/>
          <w:szCs w:val="24"/>
        </w:rPr>
        <w:t xml:space="preserve">059/2022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7"/>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7"/>
        <w:jc w:val="both"/>
        <w:spacing w:line="276" w:lineRule="auto"/>
        <w:rPr>
          <w:rFonts w:ascii="Arial" w:hAnsi="Arial" w:cs="Arial" w:eastAsia="Arial"/>
          <w:sz w:val="24"/>
          <w:szCs w:val="24"/>
        </w:rPr>
      </w:pPr>
      <w:r>
        <w:rPr>
          <w:rFonts w:ascii="Arial" w:hAnsi="Arial" w:cs="Arial" w:eastAsia="Arial"/>
          <w:sz w:val="24"/>
          <w:szCs w:val="24"/>
        </w:rPr>
      </w:r>
      <w:r/>
    </w:p>
    <w:p>
      <w:pPr>
        <w:pStyle w:val="1087"/>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87"/>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896"/>
        <w:numPr>
          <w:ilvl w:val="2"/>
          <w:numId w:val="13"/>
        </w:numPr>
        <w:jc w:val="both"/>
        <w:spacing w:line="276" w:lineRule="auto"/>
        <w:tabs>
          <w:tab w:val="left" w:pos="0" w:leader="none"/>
        </w:tabs>
        <w:rPr>
          <w:u w:val="none"/>
        </w:rPr>
      </w:pPr>
      <w:r/>
      <w:bookmarkStart w:id="4" w:name="_fxx89wbbp9la"/>
      <w:r/>
      <w:bookmarkEnd w:id="4"/>
      <w:r>
        <w:rPr>
          <w:u w:val="none"/>
        </w:rPr>
        <w:t xml:space="preserve">(nome completo e CRC do contador responsável)</w:t>
      </w:r>
      <w:r/>
    </w:p>
    <w:p>
      <w:pPr>
        <w:pStyle w:val="108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8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87"/>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08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IV</w:t>
      </w:r>
      <w:r/>
    </w:p>
    <w:p>
      <w:pPr>
        <w:pStyle w:val="1087"/>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087"/>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087"/>
        <w:spacing w:before="57" w:after="57" w:line="276" w:lineRule="auto"/>
        <w:rPr>
          <w:rFonts w:ascii="Arial" w:hAnsi="Arial" w:eastAsia="Arial"/>
          <w:sz w:val="24"/>
          <w:szCs w:val="24"/>
        </w:rPr>
      </w:pPr>
      <w:r>
        <w:rPr>
          <w:rFonts w:ascii="Arial" w:hAnsi="Arial" w:eastAsia="Arial"/>
          <w:sz w:val="24"/>
          <w:szCs w:val="24"/>
        </w:rPr>
      </w:r>
      <w:r/>
    </w:p>
    <w:p>
      <w:pPr>
        <w:pStyle w:val="1073"/>
        <w:ind w:left="2834"/>
        <w:spacing w:before="57" w:after="57" w:line="276" w:lineRule="auto"/>
        <w:rPr>
          <w:rFonts w:ascii="Arial" w:hAnsi="Arial" w:eastAsia="Arial"/>
        </w:rPr>
      </w:pPr>
      <w:r/>
      <w:bookmarkStart w:id="5" w:name="_44y2ckw13u6g"/>
      <w:r/>
      <w:bookmarkEnd w:id="5"/>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1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w:t>
      </w:r>
      <w:r>
        <w:rPr>
          <w:rFonts w:ascii="Arial" w:hAnsi="Arial" w:eastAsia="Arial"/>
          <w:sz w:val="24"/>
          <w:szCs w:val="24"/>
          <w:u w:val="single"/>
        </w:rPr>
        <w:t xml:space="preserve">DO PREÇO E CONDIÇÕES DE PAGAMENTO</w:t>
      </w:r>
      <w:r>
        <w:rPr>
          <w:rFonts w:ascii="Arial" w:hAnsi="Arial" w:eastAsia="Arial"/>
          <w:sz w:val="24"/>
          <w:szCs w:val="24"/>
          <w:u w:val="single"/>
        </w:rPr>
        <w:t xml:space="preserve">:</w:t>
      </w:r>
      <w:r>
        <w:rPr>
          <w:rFonts w:ascii="Arial" w:hAnsi="Arial" w:eastAsia="Arial"/>
          <w:sz w:val="24"/>
          <w:szCs w:val="24"/>
        </w:rPr>
        <w:t xml:space="preserve"> 2.1. O valor unitário de será de R$ ______ (______________); 2.1.1. - O valor global do presente é de R$ ___ (_______________) referentes à ______________</w:t>
      </w:r>
      <w:r>
        <w:rPr>
          <w:rFonts w:ascii="Arial" w:hAnsi="Arial" w:eastAsia="Arial"/>
          <w:sz w:val="24"/>
          <w:szCs w:val="24"/>
        </w:rPr>
        <w:t xml:space="preserve">______; 2.1.2. Os materiais / serviços serão entregues nos locais determinados pela Secretaria Municipal de _______, conforme solicitação; 2.2. - A Secretaria Municipal de ______________, atestará o recebimento dos ______________; 2.3. - O pagamento das fa</w:t>
      </w:r>
      <w:r>
        <w:rPr>
          <w:rFonts w:ascii="Arial" w:hAnsi="Arial" w:eastAsia="Arial"/>
          <w:sz w:val="24"/>
          <w:szCs w:val="24"/>
        </w:rPr>
        <w:t xml:space="preserve">turas, devidamente atestadas pela Secretaria Municipal de _______________, será efetuado 30 (trinta) dias após o fornecimento do material, mediante requerimento em processo de pagamento, formalizado no Protocolo Geral desta Prefeitura devendo o Licitante a</w:t>
      </w:r>
      <w:r>
        <w:rPr>
          <w:rFonts w:ascii="Arial" w:hAnsi="Arial" w:eastAsia="Arial"/>
          <w:sz w:val="24"/>
          <w:szCs w:val="24"/>
        </w:rPr>
        <w:t xml:space="preserve">presentar, a cópia do contrato, da nota de empenho e da nota fiscal. 2.4. Ocorrendo atraso no pagamento dentro do prazo estabelecido, o valor será acrescido de 1% (um por cento) de juros de mora ao mês “pro rata tempore”, bem como, a título de compensação </w:t>
      </w:r>
      <w:r>
        <w:rPr>
          <w:rFonts w:ascii="Arial" w:hAnsi="Arial" w:eastAsia="Arial"/>
          <w:sz w:val="24"/>
          <w:szCs w:val="24"/>
        </w:rPr>
        <w:t xml:space="preserve">financeira, de 1% (um por cento) ao mês, pro rata dia. 2.5. Ocorrendo antecipação no pagamento dentro do prazo estabelecido, a Prefeitura Municipal </w:t>
      </w:r>
      <w:r>
        <w:rPr>
          <w:rFonts w:ascii="Arial" w:hAnsi="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calculada s</w:t>
      </w:r>
      <w:r>
        <w:rPr>
          <w:rFonts w:ascii="Arial" w:hAnsi="Arial"/>
          <w:sz w:val="24"/>
          <w:szCs w:val="24"/>
        </w:rPr>
        <w:t xml:space="preserve">obre a parte não cumprida do contrato, até o limite de 30 (trinta) dias, na dependência da gravidade do dano, tudo de acordo com a decisão da autoridade competente. 7.2.2. Multa compensatória de 10% (dez por cento) sobre o valor total do contrato, no caso </w:t>
      </w:r>
      <w:r>
        <w:rPr>
          <w:rFonts w:ascii="Arial" w:hAnsi="Arial"/>
          <w:sz w:val="24"/>
          <w:szCs w:val="24"/>
        </w:rPr>
        <w:t xml:space="preserve">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w:t>
      </w:r>
      <w:r>
        <w:rPr>
          <w:rFonts w:ascii="Arial" w:hAnsi="Arial"/>
          <w:sz w:val="24"/>
          <w:szCs w:val="24"/>
        </w:rPr>
        <w:t xml:space="preserve"> </w:t>
      </w:r>
      <w:r>
        <w:rPr>
          <w:rFonts w:ascii="Arial" w:hAnsi="Arial"/>
          <w:sz w:val="24"/>
          <w:szCs w:val="24"/>
        </w:rPr>
        <w:t xml:space="preserve">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eastAsia="Arial"/>
          <w:sz w:val="24"/>
          <w:szCs w:val="24"/>
        </w:rPr>
        <w:t xml:space="preserve">seu cumprimento</w:t>
      </w:r>
      <w:r>
        <w:rPr>
          <w:rFonts w:ascii="Arial" w:hAnsi="Arial" w:eastAsia="Arial"/>
          <w:sz w:val="24"/>
          <w:szCs w:val="24"/>
        </w:rPr>
        <w:t xml:space="preserve"> levando a Administração a comprovar a impossibilidade da conclusão do objeto contratual nos prazos estipulados; 8.3- O atraso injustificado no início da execução do objeto contratual; 8.4. - A paralisação do fo</w:t>
      </w:r>
      <w:r>
        <w:rPr>
          <w:rFonts w:ascii="Arial" w:hAnsi="Arial" w:eastAsia="Arial"/>
          <w:sz w:val="24"/>
          <w:szCs w:val="24"/>
        </w:rPr>
        <w:t xml:space="preserve">rnecimento sem justa causa e prévia comunicação à Administração; 8.5.- A subcontratação total ou parcial do objeto contratual sem a concordância da Administração, a associação da contratada com outrem, sua cessão ou transferência, total ou parcial, bem com</w:t>
      </w:r>
      <w:r>
        <w:rPr>
          <w:rFonts w:ascii="Arial" w:hAnsi="Arial" w:eastAsia="Arial"/>
          <w:sz w:val="24"/>
          <w:szCs w:val="24"/>
        </w:rPr>
        <w:t xml:space="preserve">o sua fusão, cisão ou incorporação; 8.6- O desatendimento das determinações regulares da autoridade designada para acompanhar e fiscalizar sua execução, assim como as de seus superiores; 8.7- O cometimento reiterado de faltas na sua execução, anotadas na f</w:t>
      </w:r>
      <w:r>
        <w:rPr>
          <w:rFonts w:ascii="Arial" w:hAnsi="Arial" w:eastAsia="Arial"/>
          <w:sz w:val="24"/>
          <w:szCs w:val="24"/>
        </w:rPr>
        <w:t xml:space="preserve">orma do § 1º do art. 67 da lei 8666/93; 8.8 - A decretação de falência ou a instauração de insolvência civil; 8.9 - A dissolução da sociedade; 8.10- A alteração social ou a modificação da finalidade ou da estrutura da empresa, que prejudique a execução do </w:t>
      </w:r>
      <w:r>
        <w:rPr>
          <w:rFonts w:ascii="Arial" w:hAnsi="Arial" w:eastAsia="Arial"/>
          <w:sz w:val="24"/>
          <w:szCs w:val="24"/>
        </w:rPr>
        <w:t xml:space="preserve">contrato; 8.11- Razões de interesse  público, de  alta  relevância  e amplo conhecimento, justificadas e determinadas  pelo  Prefeito e exaradas no Processo Administrativo a que se refere o contrato; 8.12- A supressão, por parte da administração, de serviç</w:t>
      </w:r>
      <w:r>
        <w:rPr>
          <w:rFonts w:ascii="Arial" w:hAnsi="Arial" w:eastAsia="Arial"/>
          <w:sz w:val="24"/>
          <w:szCs w:val="24"/>
        </w:rPr>
        <w:t xml:space="preserve">os, acarretando modificação do valor inicial do contrato, além do limite permitido no § 1º do Art. 65 da Lei 8666/93; 8.13- A suspensão de sua execução, por ordem escrita do Contratante, por prazo superior a 120  (cento e vinte) dias, salvo em caso de cala</w:t>
      </w:r>
      <w:r>
        <w:rPr>
          <w:rFonts w:ascii="Arial" w:hAnsi="Arial" w:eastAsia="Arial"/>
          <w:sz w:val="24"/>
          <w:szCs w:val="24"/>
        </w:rPr>
        <w:t xml:space="preserve">midade pública, grave perturbação da  ordem  interna  ou  guerra,  ou  ainda  por repetidas suspensões que totalizem o mesmo prazo, independentemente do pagamento obrigatório de indenizações pelas sucessivas e contratualmente imprevistas desmobilizações e </w:t>
      </w:r>
      <w:r>
        <w:rPr>
          <w:rFonts w:ascii="Arial" w:hAnsi="Arial" w:eastAsia="Arial"/>
          <w:sz w:val="24"/>
          <w:szCs w:val="24"/>
        </w:rPr>
        <w:t xml:space="preserve">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C.L.</w:t>
      </w:r>
      <w:r>
        <w:rPr>
          <w:rFonts w:ascii="Arial" w:hAnsi="Arial" w:eastAsia="Arial"/>
          <w:sz w:val="24"/>
          <w:szCs w:val="24"/>
        </w:rPr>
        <w:t xml:space="preserve">T.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eastAsia="Arial"/>
          <w:sz w:val="24"/>
          <w:szCs w:val="24"/>
        </w:rPr>
        <w:t xml:space="preserve">às</w:t>
      </w:r>
      <w:r>
        <w:rPr>
          <w:rFonts w:ascii="Arial" w:hAnsi="Arial" w:eastAsia="Arial"/>
          <w:sz w:val="24"/>
          <w:szCs w:val="24"/>
        </w:rPr>
        <w:t xml:space="preserve">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w:t>
      </w:r>
      <w:r>
        <w:rPr>
          <w:rFonts w:ascii="Arial" w:hAnsi="Arial" w:eastAsia="Arial"/>
          <w:sz w:val="24"/>
          <w:szCs w:val="24"/>
        </w:rPr>
        <w:t xml:space="preserve"> </w:t>
      </w:r>
      <w:r>
        <w:rPr>
          <w:rFonts w:ascii="Arial" w:hAnsi="Arial" w:eastAsia="Arial"/>
          <w:sz w:val="24"/>
          <w:szCs w:val="24"/>
        </w:rPr>
        <w:t xml:space="preserve">Em caso de recusa de parte ou de todo o serviço, o pagamento fica</w:t>
      </w:r>
      <w:r>
        <w:rPr>
          <w:rFonts w:ascii="Arial" w:hAnsi="Arial" w:eastAsia="Arial"/>
          <w:sz w:val="24"/>
          <w:szCs w:val="24"/>
        </w:rPr>
        <w:t xml:space="preserve">rá sustado, até sua regularização, contando-se dessa época o prazo de pagamento fixado na Cláusula Segunda do presente. 16.2. A contratada é obrigada a reparar, corrigir, remover, reconstruir ou substituir, às suas expensas, no total ou em parte, o objeto </w:t>
      </w:r>
      <w:r>
        <w:rPr>
          <w:rFonts w:ascii="Arial" w:hAnsi="Arial" w:eastAsia="Arial"/>
          <w:sz w:val="24"/>
          <w:szCs w:val="24"/>
        </w:rPr>
        <w:t xml:space="preserve">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1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15"/>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087"/>
        <w:jc w:val="both"/>
        <w:spacing w:before="57" w:after="57" w:line="276" w:lineRule="auto"/>
        <w:rPr>
          <w:rFonts w:ascii="Arial" w:hAnsi="Arial" w:eastAsia="Arial"/>
          <w:sz w:val="24"/>
          <w:szCs w:val="24"/>
        </w:rPr>
      </w:pPr>
      <w:r>
        <w:rPr>
          <w:rFonts w:ascii="Arial" w:hAnsi="Arial" w:eastAsia="Arial"/>
          <w:sz w:val="24"/>
          <w:szCs w:val="24"/>
        </w:rPr>
      </w:r>
      <w:r/>
    </w:p>
    <w:p>
      <w:pPr>
        <w:pStyle w:val="1087"/>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087"/>
        <w:jc w:val="both"/>
        <w:spacing w:before="57" w:after="57" w:line="276" w:lineRule="auto"/>
        <w:rPr>
          <w:rFonts w:ascii="Arial" w:hAnsi="Arial" w:eastAsia="Arial"/>
          <w:sz w:val="24"/>
          <w:szCs w:val="24"/>
        </w:rPr>
      </w:pPr>
      <w:r>
        <w:rPr>
          <w:rFonts w:ascii="Arial" w:hAnsi="Arial" w:eastAsia="Arial"/>
          <w:sz w:val="24"/>
          <w:szCs w:val="24"/>
        </w:rPr>
      </w:r>
      <w:r/>
    </w:p>
    <w:p>
      <w:pPr>
        <w:pStyle w:val="1087"/>
        <w:jc w:val="both"/>
        <w:spacing w:before="57" w:after="57" w:line="276" w:lineRule="auto"/>
        <w:rPr>
          <w:rFonts w:ascii="Arial" w:hAnsi="Arial" w:eastAsia="Arial"/>
          <w:sz w:val="24"/>
          <w:szCs w:val="24"/>
        </w:rPr>
      </w:pPr>
      <w:r>
        <w:rPr>
          <w:rFonts w:ascii="Arial" w:hAnsi="Arial" w:eastAsia="Arial"/>
          <w:sz w:val="24"/>
          <w:szCs w:val="24"/>
        </w:rPr>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C.I. nº. _______________________</w:t>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087"/>
        <w:jc w:val="both"/>
        <w:spacing w:before="57" w:after="57" w:line="276" w:lineRule="auto"/>
      </w:pPr>
      <w:r>
        <w:rPr>
          <w:rFonts w:ascii="Arial" w:hAnsi="Arial" w:eastAsia="Arial"/>
          <w:sz w:val="24"/>
          <w:szCs w:val="24"/>
        </w:rPr>
        <w:t xml:space="preserve">C.I. nº. ________________________</w:t>
      </w:r>
      <w:r/>
    </w:p>
    <w:p>
      <w:pPr>
        <w:pStyle w:val="1087"/>
        <w:jc w:val="both"/>
        <w:spacing w:before="57" w:after="57" w:line="276" w:lineRule="auto"/>
      </w:pPr>
      <w:r/>
      <w:r/>
    </w:p>
    <w:p>
      <w:pPr>
        <w:pStyle w:val="1087"/>
        <w:jc w:val="both"/>
        <w:spacing w:before="57" w:after="57" w:line="276" w:lineRule="auto"/>
      </w:p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087"/>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895"/>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ORGÊNICA MUNICIPAL E FUNCIONÁRIO INELEGÍVEL</w:t>
      </w:r>
      <w:r/>
    </w:p>
    <w:p>
      <w:pPr>
        <w:pStyle w:val="1087"/>
        <w:jc w:val="both"/>
        <w:spacing w:before="57" w:after="57" w:line="276" w:lineRule="auto"/>
        <w:rPr>
          <w:rFonts w:ascii="Arial" w:hAnsi="Arial" w:eastAsia="Arial"/>
          <w:sz w:val="18"/>
          <w:szCs w:val="18"/>
        </w:rPr>
      </w:pPr>
      <w:r>
        <w:rPr>
          <w:rFonts w:ascii="Arial" w:hAnsi="Arial" w:eastAsia="Arial"/>
          <w:sz w:val="18"/>
          <w:szCs w:val="18"/>
        </w:rPr>
      </w:r>
      <w:r/>
    </w:p>
    <w:p>
      <w:pPr>
        <w:pStyle w:val="1087"/>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XX.XXX.XXX/XXXX-XX com sede na ____________________________, através de seu representante legal infra-assinado, (NOME) _____</w:t>
      </w:r>
      <w:r>
        <w:rPr>
          <w:rFonts w:ascii="Arial" w:hAnsi="Arial" w:eastAsia="Arial"/>
          <w:sz w:val="24"/>
          <w:szCs w:val="24"/>
        </w:rPr>
        <w:t xml:space="preserve">_____________________, nacionalidade _________, estado civil _________, profissão _________, portador da cédula de Identidade nº XXXXXXXXXX, expedida pela XXXXX/XX, inscrito no C.P.F. sob o nº XXX.XXX.XXX-XX, residente e domiciliado a _____________________</w:t>
      </w:r>
      <w:r>
        <w:rPr>
          <w:rFonts w:ascii="Arial" w:hAnsi="Arial" w:eastAsia="Arial"/>
          <w:sz w:val="24"/>
          <w:szCs w:val="24"/>
        </w:rPr>
        <w:t xml:space="preserve">_________</w:t>
      </w:r>
      <w:r>
        <w:rPr>
          <w:rFonts w:ascii="Arial" w:hAnsi="Arial" w:eastAsia="Arial"/>
          <w:sz w:val="24"/>
          <w:szCs w:val="24"/>
        </w:rPr>
        <w:t xml:space="preserve">________________ outorgando-lhe plenos poderes para representá-la na sessão pública do Pregão Eletrônico nº </w:t>
      </w:r>
      <w:r>
        <w:rPr>
          <w:rFonts w:ascii="Arial" w:hAnsi="Arial" w:eastAsia="Arial"/>
          <w:sz w:val="24"/>
          <w:szCs w:val="24"/>
        </w:rPr>
        <w:t xml:space="preserve">059/2022</w:t>
      </w:r>
      <w:r/>
      <w:r>
        <w:rPr>
          <w:rFonts w:ascii="Arial" w:hAnsi="Arial" w:eastAsia="Arial"/>
          <w:sz w:val="24"/>
          <w:szCs w:val="24"/>
        </w:rPr>
        <w:t xml:space="preserve"> do processo administrativo nº </w:t>
      </w:r>
      <w:r>
        <w:rPr>
          <w:rFonts w:ascii="Arial" w:hAnsi="Arial" w:eastAsia="Arial"/>
          <w:sz w:val="24"/>
          <w:szCs w:val="24"/>
        </w:rPr>
        <w:t xml:space="preserve">7.050/2022</w:t>
      </w:r>
      <w:r>
        <w:rPr>
          <w:rFonts w:ascii="Arial" w:hAnsi="Arial" w:eastAsia="Arial"/>
          <w:sz w:val="24"/>
          <w:szCs w:val="24"/>
        </w:rPr>
        <w:t xml:space="preserve">, declara a quem possa interessar, sob as penas da lei:</w:t>
      </w:r>
      <w:r/>
    </w:p>
    <w:p>
      <w:pPr>
        <w:pStyle w:val="108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de </w:t>
      </w:r>
      <w:r>
        <w:rPr>
          <w:rFonts w:ascii="Arial" w:hAnsi="Arial" w:eastAsia="Arial"/>
          <w:sz w:val="24"/>
          <w:szCs w:val="24"/>
        </w:rPr>
        <w:t xml:space="preserve">prestação de serviços de</w:t>
      </w:r>
      <w:r>
        <w:rPr>
          <w:rFonts w:ascii="Arial" w:hAnsi="Arial" w:eastAsia="Arial"/>
          <w:sz w:val="24"/>
          <w:szCs w:val="24"/>
        </w:rPr>
        <w:t xml:space="preserve"> </w:t>
      </w:r>
      <w:r>
        <w:rPr>
          <w:rFonts w:ascii="Arial" w:hAnsi="Arial" w:eastAsia="Arial"/>
          <w:b/>
          <w:sz w:val="24"/>
          <w:szCs w:val="24"/>
        </w:rPr>
        <w:t xml:space="preserve">02 (dois) dias</w:t>
      </w:r>
      <w:r>
        <w:rPr>
          <w:rFonts w:ascii="Arial" w:hAnsi="Arial" w:eastAsia="Arial"/>
          <w:sz w:val="24"/>
          <w:szCs w:val="24"/>
        </w:rPr>
        <w:t xml:space="preserve"> e atender ao item </w:t>
      </w:r>
      <w:r>
        <w:rPr>
          <w:rFonts w:ascii="Arial" w:hAnsi="Arial" w:eastAsia="Arial"/>
          <w:sz w:val="24"/>
          <w:szCs w:val="24"/>
        </w:rPr>
        <w:t xml:space="preserve">17</w:t>
      </w:r>
      <w:r>
        <w:rPr>
          <w:rFonts w:ascii="Arial" w:hAnsi="Arial" w:eastAsia="Arial"/>
          <w:sz w:val="24"/>
          <w:szCs w:val="24"/>
        </w:rPr>
        <w:t xml:space="preserve">.1 do edital sob as penas do art. 7ª da Lei Federal nº 10.520/2002 (não será aceita entrega parcial das ordens de compra e empenhos). </w:t>
      </w:r>
      <w:r/>
    </w:p>
    <w:p>
      <w:pPr>
        <w:pStyle w:val="108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w:t>
      </w:r>
      <w:r>
        <w:rPr>
          <w:rFonts w:ascii="Arial" w:hAnsi="Arial" w:eastAsia="Arial"/>
          <w:sz w:val="24"/>
          <w:szCs w:val="24"/>
        </w:rPr>
        <w:t xml:space="preserve">seu quadro de funcionários: dirigentes, vereadores, ocupantes de cargos comissionados e servidores municipais, bem como pessoas ligadas a qualquer deles por matrimônio ou parentesco, afim ou consanguíneo até o segundo grau ou por adoção ou que tenham sido </w:t>
      </w:r>
      <w:r>
        <w:rPr>
          <w:rFonts w:ascii="Arial" w:hAnsi="Arial" w:eastAsia="Arial"/>
          <w:sz w:val="24"/>
          <w:szCs w:val="24"/>
        </w:rPr>
        <w:t xml:space="preserve">nos últimos 180 dias anteriores</w:t>
      </w:r>
      <w:r>
        <w:rPr>
          <w:rFonts w:ascii="Arial" w:hAnsi="Arial" w:eastAsia="Arial"/>
          <w:sz w:val="24"/>
          <w:szCs w:val="24"/>
        </w:rPr>
        <w:t xml:space="preserve"> à data do ato convocatório.</w:t>
      </w:r>
      <w:r/>
    </w:p>
    <w:p>
      <w:pPr>
        <w:pStyle w:val="1087"/>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87"/>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representação contra sua pessoa julgada procedente pela Justiça Eleitoral em s de abuso do poder econômico ou político;</w:t>
      </w:r>
      <w:r/>
    </w:p>
    <w:p>
      <w:pPr>
        <w:pStyle w:val="1087"/>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condenação por crimes contra a economia popular, a fé pública, a administração pública ou o patrimônio público.</w:t>
      </w:r>
      <w:r/>
    </w:p>
    <w:p>
      <w:pPr>
        <w:pStyle w:val="1087"/>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087"/>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087"/>
        <w:jc w:val="both"/>
        <w:spacing w:before="57" w:after="57"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p>
      <w:pPr>
        <w:pStyle w:val="1087"/>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IV</w:t>
      </w:r>
      <w:r/>
    </w:p>
    <w:p>
      <w:pPr>
        <w:pStyle w:val="1087"/>
        <w:jc w:val="center"/>
        <w:rPr>
          <w:rFonts w:ascii="Arial" w:hAnsi="Arial" w:cs="Arial" w:eastAsia="Arial"/>
          <w:b/>
          <w:sz w:val="24"/>
          <w:szCs w:val="24"/>
          <w:u w:val="single"/>
        </w:rPr>
      </w:pPr>
      <w:r>
        <w:rPr>
          <w:rFonts w:ascii="Arial" w:hAnsi="Arial" w:cs="Arial" w:eastAsia="Arial"/>
          <w:b/>
          <w:sz w:val="24"/>
          <w:szCs w:val="24"/>
          <w:u w:val="single"/>
        </w:rPr>
      </w:r>
      <w:r/>
    </w:p>
    <w:p>
      <w:pPr>
        <w:pStyle w:val="1087"/>
        <w:jc w:val="center"/>
        <w:rPr>
          <w:rFonts w:ascii="Arial" w:hAnsi="Arial" w:cs="Arial" w:eastAsia="Arial"/>
          <w:b/>
          <w:sz w:val="24"/>
          <w:szCs w:val="24"/>
          <w:u w:val="single"/>
        </w:rPr>
      </w:pPr>
      <w:r>
        <w:rPr>
          <w:rFonts w:ascii="Arial" w:hAnsi="Arial" w:cs="Arial" w:eastAsia="Arial"/>
          <w:b/>
          <w:sz w:val="24"/>
          <w:szCs w:val="24"/>
          <w:u w:val="single"/>
        </w:rPr>
      </w:r>
      <w:r/>
    </w:p>
    <w:p>
      <w:pPr>
        <w:pStyle w:val="1087"/>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087"/>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w:t>
      </w:r>
      <w:r>
        <w:rPr>
          <w:rFonts w:ascii="Arial" w:hAnsi="Arial" w:cs="Arial"/>
          <w:b/>
          <w:sz w:val="24"/>
          <w:szCs w:val="24"/>
        </w:rPr>
        <w:t xml:space="preserve"> Municipal</w:t>
      </w:r>
      <w:r>
        <w:rPr>
          <w:rFonts w:ascii="Arial" w:hAnsi="Arial" w:cs="Arial"/>
          <w:b/>
          <w:sz w:val="24"/>
          <w:szCs w:val="24"/>
        </w:rPr>
        <w:t xml:space="preserve"> </w:t>
      </w:r>
      <w:r>
        <w:rPr>
          <w:rFonts w:ascii="Arial" w:hAnsi="Arial" w:cs="Arial"/>
          <w:b/>
          <w:sz w:val="24"/>
          <w:szCs w:val="24"/>
        </w:rPr>
        <w:t xml:space="preserve">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XXXXXXXXXX, expedida pela XXXXX/XX, inscrito no C.P.F. sob o nº XXX.XXX.XXX-XX, e, de</w:t>
      </w:r>
      <w:r>
        <w:rPr>
          <w:rFonts w:ascii="Arial" w:hAnsi="Arial" w:cs="Arial" w:eastAsia="Arial"/>
          <w:sz w:val="24"/>
          <w:szCs w:val="24"/>
        </w:rPr>
        <w:t xml:space="preserve"> </w:t>
      </w:r>
      <w:r>
        <w:rPr>
          <w:rFonts w:ascii="Arial" w:hAnsi="Arial" w:cs="Arial" w:eastAsia="Arial"/>
          <w:sz w:val="24"/>
          <w:szCs w:val="24"/>
        </w:rPr>
        <w:t xml:space="preserve">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eastAsia="Arial"/>
          <w:sz w:val="24"/>
          <w:szCs w:val="24"/>
        </w:rPr>
        <w:t xml:space="preserve">059/2022</w:t>
      </w:r>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27.341/2021</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087"/>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08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eastAsia="Arial"/>
          <w:b/>
          <w:sz w:val="24"/>
          <w:szCs w:val="24"/>
        </w:rPr>
        <w:t xml:space="preserve">REGISTRO DE PREÇOS </w:t>
      </w:r>
      <w:r>
        <w:rPr>
          <w:rFonts w:ascii="Arial" w:hAnsi="Arial" w:eastAsia="Arial"/>
          <w:b/>
          <w:sz w:val="24"/>
          <w:szCs w:val="24"/>
        </w:rPr>
        <w:t xml:space="preserve">PARA</w:t>
      </w:r>
      <w:r>
        <w:rPr>
          <w:rFonts w:ascii="Arial" w:hAnsi="Arial" w:eastAsia="Arial"/>
          <w:b/>
          <w:sz w:val="24"/>
          <w:szCs w:val="24"/>
        </w:rPr>
        <w:t xml:space="preserve"> </w:t>
      </w:r>
      <w:r>
        <w:rPr>
          <w:rFonts w:ascii="Arial" w:hAnsi="Arial" w:eastAsia="Arial"/>
          <w:b/>
          <w:sz w:val="24"/>
          <w:szCs w:val="24"/>
        </w:rPr>
        <w:t xml:space="preserve">CONTRATAÇÃO DE EMPRESA ESPECIALIZADA EM SERVIÇOS DE ARBITRAGEM PARA REALIZAÇÃO DE JOGOS ESTUDANTIS DE DIVERSAS MODALIDADES NA CIDADE DE TERESÓPOLIS–RJ</w:t>
      </w:r>
      <w:r>
        <w:rPr>
          <w:rFonts w:ascii="Arial" w:hAnsi="Arial" w:cs="Arial" w:eastAsia="Arial"/>
          <w:b/>
          <w:sz w:val="24"/>
          <w:szCs w:val="24"/>
        </w:rPr>
        <w:t xml:space="preserve">,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Saúde</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r>
      <w:r>
        <w:rPr>
          <w:rFonts w:ascii="Arial" w:hAnsi="Arial" w:eastAsia="Arial"/>
          <w:sz w:val="24"/>
          <w:szCs w:val="24"/>
        </w:rPr>
        <w:t xml:space="preserve">059/2022</w:t>
      </w:r>
      <w:r/>
      <w:r>
        <w:rPr>
          <w:rFonts w:ascii="Arial" w:hAnsi="Arial" w:cs="Arial" w:eastAsia="Arial"/>
          <w:sz w:val="24"/>
          <w:szCs w:val="24"/>
        </w:rPr>
        <w:t xml:space="preserve"> 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 nº </w:t>
      </w:r>
      <w:r>
        <w:rPr>
          <w:rFonts w:ascii="Arial" w:hAnsi="Arial" w:cs="Arial" w:eastAsia="Arial"/>
          <w:sz w:val="24"/>
          <w:szCs w:val="24"/>
        </w:rPr>
        <w:t xml:space="preserve">7.050/</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087"/>
        <w:numPr>
          <w:ilvl w:val="1"/>
          <w:numId w:val="17"/>
        </w:numPr>
        <w:ind w:left="851" w:hanging="142"/>
        <w:jc w:val="both"/>
        <w:spacing w:before="120" w:after="120" w:line="276" w:lineRule="auto"/>
        <w:rPr>
          <w:sz w:val="24"/>
          <w:szCs w:val="24"/>
        </w:rPr>
      </w:pPr>
      <w:r>
        <w:rPr>
          <w:color w:val="000000" w:themeColor="text1"/>
          <w:sz w:val="24"/>
          <w:szCs w:val="24"/>
        </w:rPr>
        <w:t xml:space="preserve">As despesas inerentes a este Termo de Referência correrão à conta da Dotação Orçamentária</w:t>
      </w:r>
      <w:r/>
    </w:p>
    <w:p>
      <w:pPr>
        <w:ind w:left="851"/>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02.009.12.361.0034.2045   3.3.90.39.00.00   Fonte: 100    Conta: 441</w:t>
      </w:r>
      <w:r/>
    </w:p>
    <w:p>
      <w:pPr>
        <w:pStyle w:val="1087"/>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087"/>
        <w:ind w:left="1440"/>
        <w:jc w:val="both"/>
        <w:spacing w:before="120" w:after="120" w:line="276" w:lineRule="auto"/>
        <w:rPr>
          <w:sz w:val="10"/>
          <w:szCs w:val="10"/>
        </w:rPr>
      </w:pPr>
      <w:r>
        <w:rPr>
          <w:rFonts w:ascii="Arial" w:hAnsi="Arial" w:cs="Arial" w:eastAsia="Arial"/>
          <w:sz w:val="24"/>
          <w:szCs w:val="24"/>
        </w:rPr>
        <w:t xml:space="preserve"> </w:t>
      </w:r>
      <w:r/>
    </w:p>
    <w:p>
      <w:pPr>
        <w:pStyle w:val="108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087"/>
        <w:ind w:left="1440"/>
        <w:jc w:val="both"/>
        <w:spacing w:before="120" w:after="120" w:line="276" w:lineRule="auto"/>
        <w:rPr>
          <w:sz w:val="10"/>
          <w:szCs w:val="10"/>
        </w:rPr>
      </w:pPr>
      <w:r>
        <w:rPr>
          <w:sz w:val="10"/>
          <w:szCs w:val="10"/>
        </w:rPr>
      </w:r>
      <w:r/>
    </w:p>
    <w:p>
      <w:pPr>
        <w:pStyle w:val="108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58"/>
        <w:gridCol w:w="558"/>
        <w:gridCol w:w="1328"/>
        <w:gridCol w:w="3081"/>
        <w:gridCol w:w="1136"/>
        <w:gridCol w:w="1136"/>
        <w:gridCol w:w="1259"/>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087"/>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087"/>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08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087"/>
        <w:ind w:left="720"/>
        <w:jc w:val="both"/>
        <w:spacing w:before="120" w:after="120" w:line="276" w:lineRule="auto"/>
        <w:rPr>
          <w:sz w:val="10"/>
          <w:szCs w:val="10"/>
        </w:rPr>
      </w:pPr>
      <w:r>
        <w:rPr>
          <w:sz w:val="10"/>
          <w:szCs w:val="10"/>
        </w:rPr>
      </w:r>
      <w:r/>
    </w:p>
    <w:p>
      <w:pPr>
        <w:pStyle w:val="1087"/>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seguinte metodologia.</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087"/>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Protocolo Geral do Município, processo com a referida solicitação, juntamente com os fatos e justificativas do pedido de majoração dos preços, bem como </w:t>
      </w:r>
      <w:r>
        <w:rPr>
          <w:rFonts w:ascii="Arial" w:hAnsi="Arial" w:cs="Arial" w:eastAsia="Arial"/>
          <w:sz w:val="24"/>
          <w:szCs w:val="24"/>
        </w:rPr>
        <w:t xml:space="preserve">planilhas de composição de custos, notas fiscais, dentre outros documentos capazes de comprovar o pleito;</w:t>
      </w:r>
      <w:r/>
    </w:p>
    <w:p>
      <w:pPr>
        <w:pStyle w:val="1087"/>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087"/>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087"/>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08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08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Contrato,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087"/>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08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08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8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08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08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limitadores quantitativos, a serem fiscalizados pelo Órgão Gerenciador:</w:t>
      </w:r>
      <w:r/>
    </w:p>
    <w:p>
      <w:pPr>
        <w:pStyle w:val="1087"/>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08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08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w:t>
      </w:r>
      <w:r>
        <w:rPr>
          <w:rFonts w:ascii="Arial" w:hAnsi="Arial" w:cs="Arial" w:eastAsia="Arial"/>
          <w:sz w:val="24"/>
          <w:szCs w:val="24"/>
        </w:rPr>
        <w:t xml:space="preserve">o na Ata de Registro de Preços.</w:t>
      </w:r>
      <w:r/>
    </w:p>
    <w:p>
      <w:pPr>
        <w:pStyle w:val="108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w:t>
      </w:r>
      <w:r>
        <w:rPr>
          <w:rFonts w:ascii="Arial" w:hAnsi="Arial" w:cs="Arial" w:eastAsia="Arial"/>
          <w:sz w:val="24"/>
          <w:szCs w:val="24"/>
        </w:rPr>
        <w:t xml:space="preserve">ecimento apenas estarão caracterizados após o recebimento pela DETENTORA das ordens de fornecimento emitidas pela Departamento de Suprimentos e Licitações, as quais deverão ter sido precedidas da emissão da competente Nota de Empenho, para cuja retirada a </w:t>
      </w:r>
      <w:r>
        <w:rPr>
          <w:rFonts w:ascii="Arial" w:hAnsi="Arial" w:cs="Arial" w:eastAsia="Arial"/>
          <w:sz w:val="24"/>
          <w:szCs w:val="24"/>
        </w:rPr>
        <w:t xml:space="preserve">DETENTORA terá o prazo de três dias corridos, contados de sua convocação para fazê-lo através do Diário Oficial Eletrônico do Município;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do produto, conforme o caso </w:t>
      </w:r>
      <w:r>
        <w:rPr>
          <w:rFonts w:ascii="Arial" w:hAnsi="Arial" w:cs="Arial" w:eastAsia="Arial"/>
          <w:sz w:val="24"/>
          <w:szCs w:val="24"/>
        </w:rPr>
        <w:t xml:space="preserve">será de</w:t>
      </w:r>
      <w:r>
        <w:rPr>
          <w:rFonts w:ascii="Arial" w:hAnsi="Arial" w:cs="Arial" w:eastAsia="Arial"/>
          <w:sz w:val="24"/>
          <w:szCs w:val="24"/>
        </w:rPr>
        <w:t xml:space="preserve"> </w:t>
      </w:r>
      <w:r>
        <w:rPr>
          <w:rFonts w:ascii="Arial" w:hAnsi="Arial" w:cs="Arial" w:eastAsia="Arial"/>
          <w:b/>
          <w:bCs/>
          <w:sz w:val="24"/>
          <w:szCs w:val="24"/>
        </w:rPr>
        <w:t xml:space="preserve">02</w:t>
      </w:r>
      <w:r>
        <w:rPr>
          <w:rFonts w:ascii="Arial" w:hAnsi="Arial" w:cs="Arial" w:eastAsia="Arial"/>
          <w:b/>
          <w:sz w:val="24"/>
          <w:szCs w:val="24"/>
        </w:rPr>
        <w:t xml:space="preserve"> (</w:t>
      </w:r>
      <w:r>
        <w:rPr>
          <w:rFonts w:ascii="Arial" w:hAnsi="Arial" w:cs="Arial" w:eastAsia="Arial"/>
          <w:b/>
          <w:sz w:val="24"/>
          <w:szCs w:val="24"/>
        </w:rPr>
        <w:t xml:space="preserve">dois</w:t>
      </w:r>
      <w:r>
        <w:rPr>
          <w:rFonts w:ascii="Arial" w:hAnsi="Arial" w:cs="Arial" w:eastAsia="Arial"/>
          <w:b/>
          <w:sz w:val="24"/>
          <w:szCs w:val="24"/>
        </w:rPr>
        <w:t xml:space="preserve">) dias</w:t>
      </w:r>
      <w:r>
        <w:rPr>
          <w:rFonts w:ascii="Arial" w:hAnsi="Arial" w:cs="Arial" w:eastAsia="Arial"/>
          <w:sz w:val="24"/>
          <w:szCs w:val="24"/>
        </w:rPr>
        <w:t xml:space="preserve">, contados da data de recebimento pela DETENTORA de cada ordem de fornecimento;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087"/>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08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08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b/>
          <w:sz w:val="24"/>
          <w:szCs w:val="24"/>
        </w:rPr>
        <w:t xml:space="preserve">30 (trinta) dias</w:t>
      </w:r>
      <w:r>
        <w:rPr>
          <w:rFonts w:ascii="Arial" w:hAnsi="Arial" w:cs="Arial" w:eastAsia="Arial"/>
          <w:sz w:val="24"/>
          <w:szCs w:val="24"/>
        </w:rPr>
        <w:t xml:space="preserve"> contados da data final do adimplemento de cada fornecimento;</w:t>
      </w:r>
      <w:r/>
    </w:p>
    <w:p>
      <w:pPr>
        <w:pStyle w:val="1087"/>
        <w:numPr>
          <w:ilvl w:val="2"/>
          <w:numId w:val="17"/>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w:t>
      </w:r>
      <w:r>
        <w:rPr>
          <w:rFonts w:ascii="Arial" w:hAnsi="Arial" w:cs="Arial" w:eastAsia="Arial"/>
          <w:b/>
          <w:sz w:val="24"/>
          <w:szCs w:val="24"/>
        </w:rPr>
        <w:t xml:space="preserve">30 (trinta) dias</w:t>
      </w:r>
      <w:r>
        <w:rPr>
          <w:rFonts w:ascii="Arial" w:hAnsi="Arial" w:cs="Arial" w:eastAsia="Arial"/>
          <w:sz w:val="24"/>
          <w:szCs w:val="24"/>
        </w:rPr>
        <w:t xml:space="preserve"> ficará suspenso, prosseguindo a sua contagem a partir da data da respectiva reapresentação.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Secretaria Municipal de </w:t>
      </w:r>
      <w:r>
        <w:rPr>
          <w:rFonts w:ascii="Arial" w:hAnsi="Arial" w:cs="Arial"/>
          <w:sz w:val="24"/>
          <w:szCs w:val="24"/>
        </w:rPr>
        <w:t xml:space="preserve">Saúde</w:t>
      </w:r>
      <w:r>
        <w:rPr>
          <w:rFonts w:ascii="Arial" w:hAnsi="Arial" w:cs="Arial" w:eastAsia="Arial"/>
          <w:sz w:val="24"/>
          <w:szCs w:val="24"/>
        </w:rPr>
        <w:t xml:space="preserve">:</w:t>
      </w:r>
      <w:r/>
    </w:p>
    <w:p>
      <w:pPr>
        <w:pStyle w:val="1087"/>
        <w:numPr>
          <w:ilvl w:val="0"/>
          <w:numId w:val="18"/>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087"/>
        <w:numPr>
          <w:ilvl w:val="0"/>
          <w:numId w:val="18"/>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087"/>
        <w:numPr>
          <w:ilvl w:val="0"/>
          <w:numId w:val="18"/>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087"/>
        <w:numPr>
          <w:ilvl w:val="0"/>
          <w:numId w:val="18"/>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087"/>
        <w:numPr>
          <w:ilvl w:val="0"/>
          <w:numId w:val="18"/>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087"/>
        <w:numPr>
          <w:ilvl w:val="0"/>
          <w:numId w:val="19"/>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087"/>
        <w:numPr>
          <w:ilvl w:val="0"/>
          <w:numId w:val="19"/>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087"/>
        <w:numPr>
          <w:ilvl w:val="0"/>
          <w:numId w:val="19"/>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087"/>
        <w:numPr>
          <w:ilvl w:val="0"/>
          <w:numId w:val="18"/>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w:t>
      </w:r>
      <w:r>
        <w:rPr>
          <w:rFonts w:ascii="Arial" w:hAnsi="Arial" w:cs="Arial" w:eastAsia="Arial"/>
          <w:sz w:val="24"/>
          <w:szCs w:val="24"/>
        </w:rPr>
        <w:t xml:space="preserve">Municipal de </w:t>
      </w:r>
      <w:r>
        <w:rPr>
          <w:rFonts w:ascii="Arial" w:hAnsi="Arial" w:cs="Arial"/>
          <w:sz w:val="24"/>
          <w:szCs w:val="24"/>
        </w:rPr>
        <w:t xml:space="preserve">Saúde</w:t>
      </w:r>
      <w:r>
        <w:rPr>
          <w:rFonts w:ascii="Arial" w:hAnsi="Arial" w:cs="Arial" w:eastAsia="Arial"/>
          <w:sz w:val="24"/>
          <w:szCs w:val="24"/>
        </w:rPr>
        <w:t xml:space="preserve"> </w:t>
      </w:r>
      <w:r>
        <w:rPr>
          <w:rFonts w:ascii="Arial" w:hAnsi="Arial" w:cs="Arial" w:eastAsia="Arial"/>
          <w:sz w:val="24"/>
          <w:szCs w:val="24"/>
        </w:rPr>
        <w:t xml:space="preserve">terá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087"/>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087"/>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08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08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08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08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087"/>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087"/>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087"/>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087"/>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087"/>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087"/>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15"/>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91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15"/>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15"/>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91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1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1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15"/>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15"/>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915"/>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915"/>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15"/>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15"/>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915"/>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15"/>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.5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15"/>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1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91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91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15"/>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915"/>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1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915"/>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087"/>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Pr>
          <w:rFonts w:ascii="Arial" w:hAnsi="Arial" w:cs="Arial"/>
          <w:sz w:val="24"/>
          <w:szCs w:val="24"/>
        </w:rPr>
        <w:t xml:space="preserve">Saúde</w:t>
      </w:r>
      <w:r>
        <w:rPr>
          <w:rFonts w:ascii="Arial" w:hAnsi="Arial" w:cs="Arial" w:eastAsia="Arial"/>
          <w:sz w:val="24"/>
          <w:szCs w:val="24"/>
        </w:rPr>
        <w:t xml:space="preserve">, localizada na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w:t>
      </w:r>
      <w:r>
        <w:rPr>
          <w:rFonts w:ascii="Arial" w:hAnsi="Arial" w:cs="Arial" w:eastAsia="Arial"/>
          <w:sz w:val="24"/>
          <w:szCs w:val="24"/>
        </w:rPr>
        <w:t xml:space="preserve"> Andar, Várzea, Teresópolis, RJ.</w:t>
      </w:r>
      <w:r/>
    </w:p>
    <w:p>
      <w:pPr>
        <w:pStyle w:val="1087"/>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087"/>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087"/>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08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08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087"/>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1.1.1., 11.1.2. e 11.1.3</w:t>
      </w:r>
      <w:r>
        <w:rPr>
          <w:rFonts w:ascii="Arial" w:hAnsi="Arial" w:cs="Arial"/>
          <w:sz w:val="24"/>
          <w:szCs w:val="24"/>
        </w:rPr>
        <w:t xml:space="preserve"> desta cláusula será feita pessoalmente ou por correspondência com aviso de recebimento;</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087"/>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 DAS DISPOSIÇÕES GERAIS</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w:t>
      </w:r>
      <w:r>
        <w:rPr>
          <w:rFonts w:ascii="Arial" w:hAnsi="Arial" w:cs="Arial"/>
          <w:sz w:val="24"/>
          <w:szCs w:val="24"/>
        </w:rPr>
        <w:t xml:space="preserve"> posteriores à assinatura da Ata, deverão ser formalizados no setor de protocolo geral da Prefeitura Municipal de Teresópolis, localizado na Avenida Feliciano Sodré, 675, Várzea – Teresópolis/RJ, inclusive os de reequilíbrio, cancelamento e troca de marca.</w:t>
      </w:r>
      <w:r/>
    </w:p>
    <w:p>
      <w:pPr>
        <w:pStyle w:val="1087"/>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p>
    <w:p>
      <w:pPr>
        <w:pStyle w:val="1087"/>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087"/>
        <w:ind w:left="1440"/>
        <w:jc w:val="both"/>
        <w:spacing w:before="120" w:after="120" w:line="276" w:lineRule="auto"/>
        <w:rPr>
          <w:rFonts w:ascii="Arial" w:hAnsi="Arial" w:cs="Arial"/>
          <w:sz w:val="10"/>
          <w:szCs w:val="10"/>
        </w:rPr>
      </w:pPr>
      <w:r>
        <w:rPr>
          <w:rFonts w:ascii="Arial" w:hAnsi="Arial" w:cs="Arial"/>
          <w:sz w:val="10"/>
          <w:szCs w:val="10"/>
        </w:rPr>
      </w:r>
      <w:r/>
    </w:p>
    <w:p>
      <w:pPr>
        <w:pStyle w:val="1087"/>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087"/>
        <w:ind w:left="426"/>
        <w:jc w:val="center"/>
        <w:rPr>
          <w:rFonts w:ascii="Arial" w:hAnsi="Arial" w:cs="Arial"/>
          <w:b/>
          <w:sz w:val="24"/>
          <w:szCs w:val="24"/>
        </w:rPr>
      </w:pPr>
      <w:r>
        <w:rPr>
          <w:rFonts w:ascii="Arial" w:hAnsi="Arial" w:cs="Arial"/>
          <w:b/>
          <w:sz w:val="24"/>
          <w:szCs w:val="24"/>
        </w:rPr>
        <w:t xml:space="preserve">Função</w:t>
      </w:r>
      <w:r/>
    </w:p>
    <w:p>
      <w:pPr>
        <w:pStyle w:val="1087"/>
        <w:ind w:left="426"/>
        <w:jc w:val="center"/>
        <w:rPr>
          <w:rFonts w:ascii="Arial" w:hAnsi="Arial" w:cs="Arial"/>
          <w:b/>
          <w:sz w:val="24"/>
          <w:szCs w:val="24"/>
        </w:rPr>
      </w:pPr>
      <w:r>
        <w:rPr>
          <w:rFonts w:ascii="Arial" w:hAnsi="Arial" w:cs="Arial"/>
          <w:b/>
          <w:sz w:val="24"/>
          <w:szCs w:val="24"/>
        </w:rPr>
        <w:t xml:space="preserve">Matrícula</w:t>
      </w:r>
      <w:r/>
    </w:p>
    <w:p>
      <w:pPr>
        <w:pStyle w:val="1087"/>
        <w:ind w:left="567"/>
        <w:jc w:val="center"/>
        <w:rPr>
          <w:rFonts w:ascii="Arial" w:hAnsi="Arial" w:cs="Arial"/>
          <w:b/>
          <w:sz w:val="24"/>
          <w:szCs w:val="24"/>
        </w:rPr>
      </w:pPr>
      <w:r>
        <w:rPr>
          <w:rFonts w:ascii="Arial" w:hAnsi="Arial" w:cs="Arial"/>
          <w:b/>
          <w:sz w:val="24"/>
          <w:szCs w:val="24"/>
        </w:rPr>
      </w:r>
      <w:r/>
    </w:p>
    <w:p>
      <w:pPr>
        <w:pStyle w:val="1087"/>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087"/>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087"/>
        <w:jc w:val="both"/>
        <w:spacing w:before="57" w:after="57" w:line="276" w:lineRule="auto"/>
        <w:rPr>
          <w:rFonts w:ascii="Arial" w:hAnsi="Arial" w:eastAsia="Arial"/>
          <w:b/>
          <w:sz w:val="24"/>
          <w:szCs w:val="24"/>
        </w:rPr>
      </w:pPr>
      <w:r>
        <w:rPr>
          <w:rFonts w:ascii="Arial" w:hAnsi="Arial" w:eastAsia="Arial"/>
          <w:b/>
          <w:sz w:val="24"/>
          <w:szCs w:val="24"/>
        </w:rPr>
      </w:r>
      <w:r/>
    </w:p>
    <w:sectPr>
      <w:headerReference w:type="default" r:id="rId9"/>
      <w:headerReference w:type="first" r:id="rId10"/>
      <w:footerReference w:type="default" r:id="rId11"/>
      <w:footnotePr/>
      <w:endnotePr/>
      <w:type w:val="nextPage"/>
      <w:pgSz w:w="11907" w:h="16839" w:orient="portrait"/>
      <w:pgMar w:top="1984"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Zurich BT">
    <w:panose1 w:val="02000603000000000000"/>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26"/>
      <w:jc w:val="right"/>
      <w:spacing w:line="276" w:lineRule="auto"/>
      <w:tabs>
        <w:tab w:val="left" w:pos="5245" w:leader="none"/>
        <w:tab w:val="right" w:pos="8080" w:leader="none"/>
      </w:tabs>
      <w:rPr>
        <w:rFonts w:ascii="Arial" w:hAnsi="Arial" w:cs="Arial"/>
        <w:b/>
        <w:iCs/>
        <w:color w:val="000000"/>
        <w:sz w:val="16"/>
        <w:szCs w:val="16"/>
      </w:rPr>
    </w:pPr>
    <w:r/>
    <w:bookmarkStart w:id="6" w:name="_Hlk106648348"/>
    <w:r/>
    <w:bookmarkStart w:id="7" w:name="_Hlk106648349"/>
    <w:r>
      <w:rPr>
        <w:rFonts w:ascii="Arial" w:hAnsi="Arial" w:cs="Arial"/>
        <w:b/>
        <w:iCs/>
        <w:color w:val="000000"/>
        <w:sz w:val="16"/>
        <w:szCs w:val="16"/>
      </w:rPr>
      <w:t xml:space="preserve">Satiele</w:t>
    </w:r>
    <w:r>
      <w:rPr>
        <w:rFonts w:ascii="Arial" w:hAnsi="Arial" w:cs="Arial"/>
        <w:b/>
        <w:iCs/>
        <w:color w:val="000000"/>
        <w:sz w:val="16"/>
        <w:szCs w:val="16"/>
      </w:rPr>
      <w:t xml:space="preserve"> de Sequeira Santos</w:t>
    </w:r>
    <w:r/>
  </w:p>
  <w:p>
    <w:pPr>
      <w:pStyle w:val="926"/>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w:t>
    </w:r>
    <w:r>
      <w:rPr>
        <w:rFonts w:ascii="Arial" w:hAnsi="Arial" w:cs="Arial"/>
        <w:b/>
        <w:iCs/>
        <w:color w:val="000000"/>
        <w:sz w:val="16"/>
        <w:szCs w:val="16"/>
      </w:rPr>
      <w:t xml:space="preserve">á</w:t>
    </w:r>
    <w:r>
      <w:rPr>
        <w:rFonts w:ascii="Arial" w:hAnsi="Arial" w:cs="Arial"/>
        <w:b/>
        <w:iCs/>
        <w:color w:val="000000"/>
        <w:sz w:val="16"/>
        <w:szCs w:val="16"/>
      </w:rPr>
      <w:t xml:space="preserve">ria Municipal de Educação</w:t>
    </w:r>
    <w:r/>
  </w:p>
  <w:p>
    <w:pPr>
      <w:pStyle w:val="926"/>
      <w:jc w:val="right"/>
      <w:spacing w:line="276" w:lineRule="auto"/>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1.07011-9</w:t>
    </w:r>
    <w:bookmarkEnd w:id="6"/>
    <w:r/>
    <w:bookmarkEnd w:id="7"/>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7"/>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87"/>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087"/>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3160395</wp:posOffset>
                    </wp:positionH>
                    <wp:positionV relativeFrom="paragraph">
                      <wp:posOffset>130810</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7.050/2022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48.8pt;mso-position-horizontal:absolute;mso-position-vertical-relative:text;margin-top:10.3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7.050/2022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0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87"/>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87"/>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24"/>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087"/>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087"/>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87"/>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087"/>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2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4">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5">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6">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7">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8">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2">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13">
    <w:multiLevelType w:val="hybridMultilevel"/>
    <w:lvl w:ilvl="0">
      <w:start w:val="1"/>
      <w:numFmt w:val="decimal"/>
      <w:pStyle w:val="1090"/>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5">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16">
    <w:multiLevelType w:val="hybridMultilevel"/>
    <w:lvl w:ilvl="0">
      <w:start w:val="1"/>
      <w:numFmt w:val="decimal"/>
      <w:pStyle w:val="1081"/>
      <w:isLgl w:val="false"/>
      <w:suff w:val="space"/>
      <w:lvlText w:val="%1."/>
      <w:lvlJc w:val="left"/>
      <w:pPr>
        <w:ind w:left="0" w:firstLine="0"/>
      </w:pPr>
    </w:lvl>
    <w:lvl w:ilvl="1">
      <w:start w:val="1"/>
      <w:numFmt w:val="decimal"/>
      <w:pStyle w:val="1082"/>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17">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8">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num w:numId="1">
    <w:abstractNumId w:val="17"/>
  </w:num>
  <w:num w:numId="2">
    <w:abstractNumId w:val="11"/>
  </w:num>
  <w:num w:numId="3">
    <w:abstractNumId w:val="2"/>
  </w:num>
  <w:num w:numId="4">
    <w:abstractNumId w:val="14"/>
  </w:num>
  <w:num w:numId="5">
    <w:abstractNumId w:val="16"/>
  </w:num>
  <w:num w:numId="6">
    <w:abstractNumId w:val="13"/>
  </w:num>
  <w:num w:numId="7">
    <w:abstractNumId w:val="20"/>
  </w:num>
  <w:num w:numId="8">
    <w:abstractNumId w:val="7"/>
  </w:num>
  <w:num w:numId="9">
    <w:abstractNumId w:val="18"/>
  </w:num>
  <w:num w:numId="10">
    <w:abstractNumId w:val="9"/>
  </w:num>
  <w:num w:numId="11">
    <w:abstractNumId w:val="12"/>
  </w:num>
  <w:num w:numId="12">
    <w:abstractNumId w:val="3"/>
  </w:num>
  <w:num w:numId="13">
    <w:abstractNumId w:val="0"/>
  </w:num>
  <w:num w:numId="14">
    <w:abstractNumId w:val="19"/>
  </w:num>
  <w:num w:numId="15">
    <w:abstractNumId w:val="1"/>
  </w:num>
  <w:num w:numId="16">
    <w:abstractNumId w:val="6"/>
  </w:num>
  <w:num w:numId="17">
    <w:abstractNumId w:val="5"/>
  </w:num>
  <w:num w:numId="18">
    <w:abstractNumId w:val="8"/>
  </w:num>
  <w:num w:numId="19">
    <w:abstractNumId w:val="4"/>
  </w:num>
  <w:num w:numId="20">
    <w:abstractNumId w:val="15"/>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79">
    <w:name w:val="Heading 1 Char"/>
    <w:basedOn w:val="903"/>
    <w:link w:val="894"/>
    <w:uiPriority w:val="9"/>
    <w:rPr>
      <w:rFonts w:ascii="Arial" w:hAnsi="Arial" w:cs="Arial" w:eastAsia="Arial"/>
      <w:sz w:val="40"/>
      <w:szCs w:val="40"/>
    </w:rPr>
  </w:style>
  <w:style w:type="character" w:styleId="880">
    <w:name w:val="Heading 2 Char"/>
    <w:basedOn w:val="903"/>
    <w:link w:val="895"/>
    <w:uiPriority w:val="9"/>
    <w:rPr>
      <w:rFonts w:ascii="Arial" w:hAnsi="Arial" w:cs="Arial" w:eastAsia="Arial"/>
      <w:sz w:val="34"/>
    </w:rPr>
  </w:style>
  <w:style w:type="character" w:styleId="881">
    <w:name w:val="Heading 3 Char"/>
    <w:basedOn w:val="903"/>
    <w:link w:val="896"/>
    <w:uiPriority w:val="9"/>
    <w:rPr>
      <w:rFonts w:ascii="Arial" w:hAnsi="Arial" w:cs="Arial" w:eastAsia="Arial"/>
      <w:sz w:val="30"/>
      <w:szCs w:val="30"/>
    </w:rPr>
  </w:style>
  <w:style w:type="character" w:styleId="882">
    <w:name w:val="Heading 4 Char"/>
    <w:basedOn w:val="903"/>
    <w:link w:val="897"/>
    <w:uiPriority w:val="9"/>
    <w:rPr>
      <w:rFonts w:ascii="Arial" w:hAnsi="Arial" w:cs="Arial" w:eastAsia="Arial"/>
      <w:b/>
      <w:bCs/>
      <w:sz w:val="26"/>
      <w:szCs w:val="26"/>
    </w:rPr>
  </w:style>
  <w:style w:type="character" w:styleId="883">
    <w:name w:val="Heading 5 Char"/>
    <w:basedOn w:val="903"/>
    <w:link w:val="898"/>
    <w:uiPriority w:val="9"/>
    <w:rPr>
      <w:rFonts w:ascii="Arial" w:hAnsi="Arial" w:cs="Arial" w:eastAsia="Arial"/>
      <w:b/>
      <w:bCs/>
      <w:sz w:val="24"/>
      <w:szCs w:val="24"/>
    </w:rPr>
  </w:style>
  <w:style w:type="character" w:styleId="884">
    <w:name w:val="Heading 6 Char"/>
    <w:basedOn w:val="903"/>
    <w:link w:val="899"/>
    <w:uiPriority w:val="9"/>
    <w:rPr>
      <w:rFonts w:ascii="Arial" w:hAnsi="Arial" w:cs="Arial" w:eastAsia="Arial"/>
      <w:b/>
      <w:bCs/>
      <w:sz w:val="22"/>
      <w:szCs w:val="22"/>
    </w:rPr>
  </w:style>
  <w:style w:type="character" w:styleId="885">
    <w:name w:val="Heading 7 Char"/>
    <w:basedOn w:val="903"/>
    <w:link w:val="900"/>
    <w:uiPriority w:val="9"/>
    <w:rPr>
      <w:rFonts w:ascii="Arial" w:hAnsi="Arial" w:cs="Arial" w:eastAsia="Arial"/>
      <w:b/>
      <w:bCs/>
      <w:i/>
      <w:iCs/>
      <w:sz w:val="22"/>
      <w:szCs w:val="22"/>
    </w:rPr>
  </w:style>
  <w:style w:type="character" w:styleId="886">
    <w:name w:val="Heading 8 Char"/>
    <w:basedOn w:val="903"/>
    <w:link w:val="901"/>
    <w:uiPriority w:val="9"/>
    <w:rPr>
      <w:rFonts w:ascii="Arial" w:hAnsi="Arial" w:cs="Arial" w:eastAsia="Arial"/>
      <w:i/>
      <w:iCs/>
      <w:sz w:val="22"/>
      <w:szCs w:val="22"/>
    </w:rPr>
  </w:style>
  <w:style w:type="character" w:styleId="887">
    <w:name w:val="Heading 9 Char"/>
    <w:basedOn w:val="903"/>
    <w:link w:val="902"/>
    <w:uiPriority w:val="9"/>
    <w:rPr>
      <w:rFonts w:ascii="Arial" w:hAnsi="Arial" w:cs="Arial" w:eastAsia="Arial"/>
      <w:i/>
      <w:iCs/>
      <w:sz w:val="21"/>
      <w:szCs w:val="21"/>
    </w:rPr>
  </w:style>
  <w:style w:type="character" w:styleId="888">
    <w:name w:val="Title Char"/>
    <w:basedOn w:val="903"/>
    <w:link w:val="917"/>
    <w:uiPriority w:val="10"/>
    <w:rPr>
      <w:sz w:val="48"/>
      <w:szCs w:val="48"/>
    </w:rPr>
  </w:style>
  <w:style w:type="character" w:styleId="889">
    <w:name w:val="Subtitle Char"/>
    <w:basedOn w:val="903"/>
    <w:link w:val="919"/>
    <w:uiPriority w:val="11"/>
    <w:rPr>
      <w:sz w:val="24"/>
      <w:szCs w:val="24"/>
    </w:rPr>
  </w:style>
  <w:style w:type="character" w:styleId="890">
    <w:name w:val="Intense Quote Char"/>
    <w:link w:val="922"/>
    <w:uiPriority w:val="30"/>
    <w:rPr>
      <w:i/>
    </w:rPr>
  </w:style>
  <w:style w:type="character" w:styleId="891">
    <w:name w:val="Footnote Text Char"/>
    <w:link w:val="1056"/>
    <w:uiPriority w:val="99"/>
    <w:rPr>
      <w:sz w:val="18"/>
    </w:rPr>
  </w:style>
  <w:style w:type="character" w:styleId="892">
    <w:name w:val="Endnote Text Char"/>
    <w:link w:val="1059"/>
    <w:uiPriority w:val="99"/>
    <w:rPr>
      <w:sz w:val="20"/>
    </w:rPr>
  </w:style>
  <w:style w:type="paragraph" w:styleId="893" w:default="1">
    <w:name w:val="Normal"/>
    <w:rPr>
      <w:lang w:eastAsia="en-US"/>
    </w:rPr>
  </w:style>
  <w:style w:type="paragraph" w:styleId="894">
    <w:name w:val="Heading 1"/>
    <w:basedOn w:val="893"/>
    <w:next w:val="893"/>
    <w:link w:val="906"/>
    <w:uiPriority w:val="1"/>
    <w:qFormat/>
    <w:pPr>
      <w:keepLines/>
      <w:keepNext/>
      <w:spacing w:before="480" w:after="200"/>
      <w:outlineLvl w:val="0"/>
    </w:pPr>
    <w:rPr>
      <w:rFonts w:ascii="Arial" w:hAnsi="Arial" w:cs="Arial" w:eastAsia="Arial"/>
      <w:sz w:val="40"/>
      <w:szCs w:val="40"/>
    </w:rPr>
  </w:style>
  <w:style w:type="paragraph" w:styleId="895">
    <w:name w:val="Heading 2"/>
    <w:basedOn w:val="1087"/>
    <w:next w:val="1087"/>
    <w:link w:val="907"/>
    <w:pPr>
      <w:ind w:left="2160"/>
      <w:jc w:val="both"/>
      <w:keepNext/>
      <w:outlineLvl w:val="1"/>
    </w:pPr>
    <w:rPr>
      <w:rFonts w:ascii="Times New Roman" w:hAnsi="Times New Roman" w:eastAsia="Times New Roman"/>
      <w:b/>
      <w:sz w:val="24"/>
      <w:szCs w:val="24"/>
    </w:rPr>
  </w:style>
  <w:style w:type="paragraph" w:styleId="896">
    <w:name w:val="Heading 3"/>
    <w:basedOn w:val="1087"/>
    <w:next w:val="1087"/>
    <w:link w:val="908"/>
    <w:pPr>
      <w:jc w:val="center"/>
      <w:keepNext/>
      <w:outlineLvl w:val="2"/>
    </w:pPr>
    <w:rPr>
      <w:rFonts w:ascii="Arial" w:hAnsi="Arial" w:eastAsia="Arial"/>
      <w:b/>
      <w:sz w:val="24"/>
      <w:szCs w:val="24"/>
      <w:u w:val="single"/>
    </w:rPr>
  </w:style>
  <w:style w:type="paragraph" w:styleId="897">
    <w:name w:val="Heading 4"/>
    <w:basedOn w:val="1087"/>
    <w:next w:val="1087"/>
    <w:link w:val="909"/>
    <w:pPr>
      <w:jc w:val="center"/>
      <w:keepNext/>
      <w:outlineLvl w:val="3"/>
    </w:pPr>
    <w:rPr>
      <w:rFonts w:ascii="Arial" w:hAnsi="Arial" w:eastAsia="Arial"/>
      <w:b/>
      <w:sz w:val="24"/>
      <w:szCs w:val="24"/>
    </w:rPr>
  </w:style>
  <w:style w:type="paragraph" w:styleId="898">
    <w:name w:val="Heading 5"/>
    <w:basedOn w:val="1087"/>
    <w:next w:val="1087"/>
    <w:link w:val="910"/>
    <w:pPr>
      <w:keepNext/>
      <w:outlineLvl w:val="4"/>
    </w:pPr>
    <w:rPr>
      <w:rFonts w:ascii="Times New Roman" w:hAnsi="Times New Roman" w:eastAsia="Times New Roman"/>
      <w:b/>
      <w:sz w:val="24"/>
      <w:szCs w:val="24"/>
    </w:rPr>
  </w:style>
  <w:style w:type="paragraph" w:styleId="899">
    <w:name w:val="Heading 6"/>
    <w:basedOn w:val="1087"/>
    <w:next w:val="1087"/>
    <w:link w:val="911"/>
    <w:pPr>
      <w:keepLines/>
      <w:keepNext/>
      <w:spacing w:before="200" w:after="40"/>
      <w:outlineLvl w:val="5"/>
    </w:pPr>
    <w:rPr>
      <w:b/>
    </w:rPr>
  </w:style>
  <w:style w:type="paragraph" w:styleId="900">
    <w:name w:val="Heading 7"/>
    <w:basedOn w:val="893"/>
    <w:next w:val="893"/>
    <w:link w:val="912"/>
    <w:uiPriority w:val="9"/>
    <w:unhideWhenUsed/>
    <w:qFormat/>
    <w:pPr>
      <w:keepLines/>
      <w:keepNext/>
      <w:spacing w:before="320" w:after="200"/>
      <w:outlineLvl w:val="6"/>
    </w:pPr>
    <w:rPr>
      <w:rFonts w:ascii="Arial" w:hAnsi="Arial" w:cs="Arial" w:eastAsia="Arial"/>
      <w:b/>
      <w:bCs/>
      <w:i/>
      <w:iCs/>
      <w:sz w:val="22"/>
      <w:szCs w:val="22"/>
    </w:rPr>
  </w:style>
  <w:style w:type="paragraph" w:styleId="901">
    <w:name w:val="Heading 8"/>
    <w:basedOn w:val="893"/>
    <w:next w:val="893"/>
    <w:link w:val="913"/>
    <w:uiPriority w:val="9"/>
    <w:unhideWhenUsed/>
    <w:qFormat/>
    <w:pPr>
      <w:keepLines/>
      <w:keepNext/>
      <w:spacing w:before="320" w:after="200"/>
      <w:outlineLvl w:val="7"/>
    </w:pPr>
    <w:rPr>
      <w:rFonts w:ascii="Arial" w:hAnsi="Arial" w:cs="Arial" w:eastAsia="Arial"/>
      <w:i/>
      <w:iCs/>
      <w:sz w:val="22"/>
      <w:szCs w:val="22"/>
    </w:rPr>
  </w:style>
  <w:style w:type="paragraph" w:styleId="902">
    <w:name w:val="Heading 9"/>
    <w:basedOn w:val="893"/>
    <w:next w:val="893"/>
    <w:link w:val="914"/>
    <w:uiPriority w:val="9"/>
    <w:unhideWhenUsed/>
    <w:qFormat/>
    <w:pPr>
      <w:keepLines/>
      <w:keepNext/>
      <w:spacing w:before="320" w:after="200"/>
      <w:outlineLvl w:val="8"/>
    </w:pPr>
    <w:rPr>
      <w:rFonts w:ascii="Arial" w:hAnsi="Arial" w:cs="Arial" w:eastAsia="Arial"/>
      <w:i/>
      <w:iCs/>
      <w:sz w:val="21"/>
      <w:szCs w:val="21"/>
    </w:rPr>
  </w:style>
  <w:style w:type="character" w:styleId="903" w:default="1">
    <w:name w:val="Default Paragraph Font"/>
    <w:uiPriority w:val="1"/>
    <w:semiHidden/>
    <w:unhideWhenUsed/>
  </w:style>
  <w:style w:type="table" w:styleId="904" w:default="1">
    <w:name w:val="Normal Table"/>
    <w:uiPriority w:val="99"/>
    <w:semiHidden/>
    <w:unhideWhenUsed/>
    <w:tblPr>
      <w:tblInd w:w="0" w:type="dxa"/>
      <w:tblCellMar>
        <w:left w:w="108" w:type="dxa"/>
        <w:top w:w="0" w:type="dxa"/>
        <w:right w:w="108" w:type="dxa"/>
        <w:bottom w:w="0" w:type="dxa"/>
      </w:tblCellMar>
    </w:tblPr>
  </w:style>
  <w:style w:type="numbering" w:styleId="905" w:default="1">
    <w:name w:val="No List"/>
    <w:uiPriority w:val="99"/>
    <w:semiHidden/>
    <w:unhideWhenUsed/>
  </w:style>
  <w:style w:type="character" w:styleId="906" w:customStyle="1">
    <w:name w:val="Título 1 Char1"/>
    <w:link w:val="894"/>
    <w:uiPriority w:val="9"/>
    <w:rPr>
      <w:rFonts w:ascii="Arial" w:hAnsi="Arial" w:cs="Arial" w:eastAsia="Arial"/>
      <w:sz w:val="40"/>
      <w:szCs w:val="40"/>
    </w:rPr>
  </w:style>
  <w:style w:type="character" w:styleId="907" w:customStyle="1">
    <w:name w:val="Título 2 Char"/>
    <w:link w:val="895"/>
    <w:uiPriority w:val="9"/>
    <w:rPr>
      <w:rFonts w:ascii="Arial" w:hAnsi="Arial" w:cs="Arial" w:eastAsia="Arial"/>
      <w:sz w:val="34"/>
    </w:rPr>
  </w:style>
  <w:style w:type="character" w:styleId="908" w:customStyle="1">
    <w:name w:val="Título 3 Char"/>
    <w:link w:val="896"/>
    <w:uiPriority w:val="9"/>
    <w:rPr>
      <w:rFonts w:ascii="Arial" w:hAnsi="Arial" w:cs="Arial" w:eastAsia="Arial"/>
      <w:sz w:val="30"/>
      <w:szCs w:val="30"/>
    </w:rPr>
  </w:style>
  <w:style w:type="character" w:styleId="909" w:customStyle="1">
    <w:name w:val="Título 4 Char"/>
    <w:link w:val="897"/>
    <w:uiPriority w:val="9"/>
    <w:rPr>
      <w:rFonts w:ascii="Arial" w:hAnsi="Arial" w:cs="Arial" w:eastAsia="Arial"/>
      <w:b/>
      <w:bCs/>
      <w:sz w:val="26"/>
      <w:szCs w:val="26"/>
    </w:rPr>
  </w:style>
  <w:style w:type="character" w:styleId="910" w:customStyle="1">
    <w:name w:val="Título 5 Char"/>
    <w:link w:val="898"/>
    <w:uiPriority w:val="9"/>
    <w:rPr>
      <w:rFonts w:ascii="Arial" w:hAnsi="Arial" w:cs="Arial" w:eastAsia="Arial"/>
      <w:b/>
      <w:bCs/>
      <w:sz w:val="24"/>
      <w:szCs w:val="24"/>
    </w:rPr>
  </w:style>
  <w:style w:type="character" w:styleId="911" w:customStyle="1">
    <w:name w:val="Título 6 Char"/>
    <w:link w:val="899"/>
    <w:uiPriority w:val="9"/>
    <w:rPr>
      <w:rFonts w:ascii="Arial" w:hAnsi="Arial" w:cs="Arial" w:eastAsia="Arial"/>
      <w:b/>
      <w:bCs/>
      <w:sz w:val="22"/>
      <w:szCs w:val="22"/>
    </w:rPr>
  </w:style>
  <w:style w:type="character" w:styleId="912" w:customStyle="1">
    <w:name w:val="Título 7 Char"/>
    <w:link w:val="900"/>
    <w:uiPriority w:val="9"/>
    <w:rPr>
      <w:rFonts w:ascii="Arial" w:hAnsi="Arial" w:cs="Arial" w:eastAsia="Arial"/>
      <w:b/>
      <w:bCs/>
      <w:i/>
      <w:iCs/>
      <w:sz w:val="22"/>
      <w:szCs w:val="22"/>
    </w:rPr>
  </w:style>
  <w:style w:type="character" w:styleId="913" w:customStyle="1">
    <w:name w:val="Título 8 Char"/>
    <w:link w:val="901"/>
    <w:uiPriority w:val="9"/>
    <w:rPr>
      <w:rFonts w:ascii="Arial" w:hAnsi="Arial" w:cs="Arial" w:eastAsia="Arial"/>
      <w:i/>
      <w:iCs/>
      <w:sz w:val="22"/>
      <w:szCs w:val="22"/>
    </w:rPr>
  </w:style>
  <w:style w:type="character" w:styleId="914" w:customStyle="1">
    <w:name w:val="Título 9 Char"/>
    <w:link w:val="902"/>
    <w:uiPriority w:val="9"/>
    <w:rPr>
      <w:rFonts w:ascii="Arial" w:hAnsi="Arial" w:cs="Arial" w:eastAsia="Arial"/>
      <w:i/>
      <w:iCs/>
      <w:sz w:val="21"/>
      <w:szCs w:val="21"/>
    </w:rPr>
  </w:style>
  <w:style w:type="paragraph" w:styleId="915">
    <w:name w:val="List Paragraph"/>
    <w:basedOn w:val="893"/>
    <w:uiPriority w:val="1"/>
    <w:qFormat/>
    <w:pPr>
      <w:contextualSpacing/>
      <w:ind w:left="720"/>
      <w:spacing w:after="160" w:line="259" w:lineRule="auto"/>
    </w:pPr>
    <w:rPr>
      <w:rFonts w:ascii="Calibri" w:hAnsi="Calibri" w:eastAsia="Calibri"/>
      <w:sz w:val="22"/>
      <w:szCs w:val="22"/>
    </w:rPr>
  </w:style>
  <w:style w:type="paragraph" w:styleId="916">
    <w:name w:val="No Spacing"/>
    <w:uiPriority w:val="1"/>
    <w:qFormat/>
    <w:rPr>
      <w:lang w:eastAsia="zh-CN"/>
    </w:rPr>
  </w:style>
  <w:style w:type="paragraph" w:styleId="917">
    <w:name w:val="Title"/>
    <w:basedOn w:val="893"/>
    <w:next w:val="893"/>
    <w:link w:val="918"/>
    <w:uiPriority w:val="1"/>
    <w:qFormat/>
    <w:pPr>
      <w:contextualSpacing/>
      <w:spacing w:before="300" w:after="200"/>
    </w:pPr>
    <w:rPr>
      <w:sz w:val="48"/>
      <w:szCs w:val="48"/>
    </w:rPr>
  </w:style>
  <w:style w:type="character" w:styleId="918" w:customStyle="1">
    <w:name w:val="Título Char1"/>
    <w:link w:val="917"/>
    <w:uiPriority w:val="10"/>
    <w:rPr>
      <w:sz w:val="48"/>
      <w:szCs w:val="48"/>
    </w:rPr>
  </w:style>
  <w:style w:type="paragraph" w:styleId="919">
    <w:name w:val="Subtitle"/>
    <w:basedOn w:val="1087"/>
    <w:next w:val="1087"/>
    <w:link w:val="920"/>
    <w:pPr>
      <w:keepLines/>
      <w:keepNext/>
      <w:spacing w:before="360" w:after="80"/>
    </w:pPr>
    <w:rPr>
      <w:rFonts w:ascii="Georgia" w:hAnsi="Georgia" w:eastAsia="Georgia"/>
      <w:i/>
      <w:color w:val="666666"/>
      <w:sz w:val="48"/>
      <w:szCs w:val="48"/>
    </w:rPr>
  </w:style>
  <w:style w:type="character" w:styleId="920" w:customStyle="1">
    <w:name w:val="Subtítulo Char"/>
    <w:link w:val="919"/>
    <w:uiPriority w:val="11"/>
    <w:rPr>
      <w:sz w:val="24"/>
      <w:szCs w:val="24"/>
    </w:rPr>
  </w:style>
  <w:style w:type="paragraph" w:styleId="921">
    <w:name w:val="Quote"/>
    <w:basedOn w:val="893"/>
    <w:next w:val="893"/>
    <w:link w:val="1092"/>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22">
    <w:name w:val="Intense Quote"/>
    <w:basedOn w:val="893"/>
    <w:next w:val="893"/>
    <w:link w:val="92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23" w:customStyle="1">
    <w:name w:val="Citação Intensa Char"/>
    <w:link w:val="922"/>
    <w:uiPriority w:val="30"/>
    <w:rPr>
      <w:i/>
    </w:rPr>
  </w:style>
  <w:style w:type="paragraph" w:styleId="924">
    <w:name w:val="Header"/>
    <w:basedOn w:val="893"/>
    <w:link w:val="1076"/>
    <w:pPr>
      <w:tabs>
        <w:tab w:val="center" w:pos="4320" w:leader="none"/>
        <w:tab w:val="right" w:pos="8640" w:leader="none"/>
      </w:tabs>
    </w:pPr>
  </w:style>
  <w:style w:type="character" w:styleId="925" w:customStyle="1">
    <w:name w:val="Header Char"/>
    <w:uiPriority w:val="99"/>
  </w:style>
  <w:style w:type="paragraph" w:styleId="926">
    <w:name w:val="Footer"/>
    <w:basedOn w:val="893"/>
    <w:link w:val="1077"/>
    <w:uiPriority w:val="99"/>
    <w:pPr>
      <w:tabs>
        <w:tab w:val="center" w:pos="4320" w:leader="none"/>
        <w:tab w:val="right" w:pos="8640" w:leader="none"/>
      </w:tabs>
    </w:pPr>
  </w:style>
  <w:style w:type="character" w:styleId="927" w:customStyle="1">
    <w:name w:val="Footer Char"/>
    <w:uiPriority w:val="99"/>
  </w:style>
  <w:style w:type="paragraph" w:styleId="928">
    <w:name w:val="Caption"/>
    <w:basedOn w:val="893"/>
    <w:next w:val="893"/>
    <w:uiPriority w:val="35"/>
    <w:semiHidden/>
    <w:unhideWhenUsed/>
    <w:qFormat/>
    <w:pPr>
      <w:spacing w:line="276" w:lineRule="auto"/>
    </w:pPr>
    <w:rPr>
      <w:b/>
      <w:bCs/>
      <w:color w:val="4F81BD"/>
      <w:sz w:val="18"/>
      <w:szCs w:val="18"/>
    </w:rPr>
  </w:style>
  <w:style w:type="character" w:styleId="929" w:customStyle="1">
    <w:name w:val="Caption Char"/>
    <w:uiPriority w:val="99"/>
  </w:style>
  <w:style w:type="table" w:styleId="930">
    <w:name w:val="Table Grid"/>
    <w:basedOn w:val="904"/>
    <w:rPr>
      <w:rFonts w:ascii="Cambria" w:hAnsi="Cambria" w:eastAsia="MS Mincho"/>
      <w:sz w:val="22"/>
      <w:szCs w:val="22"/>
    </w:rPr>
    <w:tblPr/>
  </w:style>
  <w:style w:type="table" w:styleId="931"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32">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33">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34">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35">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36">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37">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38"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39"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40"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41"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42"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43"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44">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45"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46"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47"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48"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49"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50"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51">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52"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53"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54"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55"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56"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57"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58">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59"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60"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61"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62"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63"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64"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65">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66"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67"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68"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69"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70"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71"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972">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73"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74"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5"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6"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77"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78"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79">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980"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981"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82"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83"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84"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85"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86">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987"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988"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989"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990"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991"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992"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993">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994"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995"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996"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997"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998"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999"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00">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01"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02"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03"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04"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05"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06"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07">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08"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09"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10"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11"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12"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13"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14">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15"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16"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17"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18"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19"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20"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21">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22"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23"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24"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25"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26"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27"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28">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29"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30"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31"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32"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33"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34"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35"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36"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37"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38"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39"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40"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41"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42"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43"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44"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45"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46"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47"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48"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49"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50"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51"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52"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53"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54"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55"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56">
    <w:name w:val="footnote text"/>
    <w:basedOn w:val="893"/>
    <w:link w:val="1057"/>
    <w:uiPriority w:val="99"/>
    <w:semiHidden/>
    <w:unhideWhenUsed/>
    <w:pPr>
      <w:spacing w:after="40"/>
    </w:pPr>
    <w:rPr>
      <w:sz w:val="18"/>
    </w:rPr>
  </w:style>
  <w:style w:type="character" w:styleId="1057" w:customStyle="1">
    <w:name w:val="Texto de nota de rodapé Char"/>
    <w:link w:val="1056"/>
    <w:uiPriority w:val="99"/>
    <w:rPr>
      <w:sz w:val="18"/>
    </w:rPr>
  </w:style>
  <w:style w:type="character" w:styleId="1058">
    <w:name w:val="footnote reference"/>
    <w:uiPriority w:val="99"/>
    <w:unhideWhenUsed/>
    <w:rPr>
      <w:vertAlign w:val="superscript"/>
    </w:rPr>
  </w:style>
  <w:style w:type="paragraph" w:styleId="1059">
    <w:name w:val="endnote text"/>
    <w:basedOn w:val="893"/>
    <w:link w:val="1060"/>
    <w:uiPriority w:val="99"/>
    <w:semiHidden/>
    <w:unhideWhenUsed/>
  </w:style>
  <w:style w:type="character" w:styleId="1060" w:customStyle="1">
    <w:name w:val="Texto de nota de fim Char"/>
    <w:link w:val="1059"/>
    <w:uiPriority w:val="99"/>
    <w:rPr>
      <w:sz w:val="20"/>
    </w:rPr>
  </w:style>
  <w:style w:type="character" w:styleId="1061">
    <w:name w:val="endnote reference"/>
    <w:uiPriority w:val="99"/>
    <w:semiHidden/>
    <w:unhideWhenUsed/>
    <w:rPr>
      <w:vertAlign w:val="superscript"/>
    </w:rPr>
  </w:style>
  <w:style w:type="paragraph" w:styleId="1062">
    <w:name w:val="toc 1"/>
    <w:basedOn w:val="893"/>
    <w:next w:val="893"/>
    <w:uiPriority w:val="39"/>
    <w:unhideWhenUsed/>
    <w:pPr>
      <w:spacing w:after="57"/>
    </w:pPr>
  </w:style>
  <w:style w:type="paragraph" w:styleId="1063">
    <w:name w:val="toc 2"/>
    <w:basedOn w:val="893"/>
    <w:next w:val="893"/>
    <w:uiPriority w:val="39"/>
    <w:unhideWhenUsed/>
    <w:pPr>
      <w:ind w:left="283"/>
      <w:spacing w:after="57"/>
    </w:pPr>
  </w:style>
  <w:style w:type="paragraph" w:styleId="1064">
    <w:name w:val="toc 3"/>
    <w:basedOn w:val="893"/>
    <w:next w:val="893"/>
    <w:uiPriority w:val="39"/>
    <w:unhideWhenUsed/>
    <w:pPr>
      <w:ind w:left="567"/>
      <w:spacing w:after="57"/>
    </w:pPr>
  </w:style>
  <w:style w:type="paragraph" w:styleId="1065">
    <w:name w:val="toc 4"/>
    <w:basedOn w:val="893"/>
    <w:next w:val="893"/>
    <w:uiPriority w:val="39"/>
    <w:unhideWhenUsed/>
    <w:pPr>
      <w:ind w:left="850"/>
      <w:spacing w:after="57"/>
    </w:pPr>
  </w:style>
  <w:style w:type="paragraph" w:styleId="1066">
    <w:name w:val="toc 5"/>
    <w:basedOn w:val="893"/>
    <w:next w:val="893"/>
    <w:uiPriority w:val="39"/>
    <w:unhideWhenUsed/>
    <w:pPr>
      <w:ind w:left="1134"/>
      <w:spacing w:after="57"/>
    </w:pPr>
  </w:style>
  <w:style w:type="paragraph" w:styleId="1067">
    <w:name w:val="toc 6"/>
    <w:basedOn w:val="893"/>
    <w:next w:val="893"/>
    <w:uiPriority w:val="39"/>
    <w:unhideWhenUsed/>
    <w:pPr>
      <w:ind w:left="1417"/>
      <w:spacing w:after="57"/>
    </w:pPr>
  </w:style>
  <w:style w:type="paragraph" w:styleId="1068">
    <w:name w:val="toc 7"/>
    <w:basedOn w:val="893"/>
    <w:next w:val="893"/>
    <w:uiPriority w:val="39"/>
    <w:unhideWhenUsed/>
    <w:pPr>
      <w:ind w:left="1701"/>
      <w:spacing w:after="57"/>
    </w:pPr>
  </w:style>
  <w:style w:type="paragraph" w:styleId="1069">
    <w:name w:val="toc 8"/>
    <w:basedOn w:val="893"/>
    <w:next w:val="893"/>
    <w:uiPriority w:val="39"/>
    <w:unhideWhenUsed/>
    <w:pPr>
      <w:ind w:left="1984"/>
      <w:spacing w:after="57"/>
    </w:pPr>
  </w:style>
  <w:style w:type="paragraph" w:styleId="1070">
    <w:name w:val="toc 9"/>
    <w:basedOn w:val="893"/>
    <w:next w:val="893"/>
    <w:uiPriority w:val="39"/>
    <w:unhideWhenUsed/>
    <w:pPr>
      <w:ind w:left="2268"/>
      <w:spacing w:after="57"/>
    </w:pPr>
  </w:style>
  <w:style w:type="paragraph" w:styleId="1071">
    <w:name w:val="TOC Heading"/>
    <w:uiPriority w:val="39"/>
    <w:unhideWhenUsed/>
    <w:rPr>
      <w:lang w:eastAsia="zh-CN"/>
    </w:rPr>
  </w:style>
  <w:style w:type="paragraph" w:styleId="1072">
    <w:name w:val="table of figures"/>
    <w:basedOn w:val="893"/>
    <w:next w:val="893"/>
    <w:uiPriority w:val="99"/>
    <w:unhideWhenUsed/>
  </w:style>
  <w:style w:type="paragraph" w:styleId="1073" w:customStyle="1">
    <w:name w:val="Título 1;EDITAL 1.1"/>
    <w:basedOn w:val="1087"/>
    <w:next w:val="1087"/>
    <w:link w:val="1099"/>
    <w:pPr>
      <w:ind w:left="2160"/>
      <w:jc w:val="both"/>
      <w:keepNext/>
      <w:outlineLvl w:val="0"/>
    </w:pPr>
    <w:rPr>
      <w:rFonts w:ascii="Times New Roman" w:hAnsi="Times New Roman" w:eastAsia="Times New Roman"/>
      <w:b/>
      <w:sz w:val="24"/>
      <w:szCs w:val="24"/>
      <w:u w:val="single"/>
    </w:rPr>
  </w:style>
  <w:style w:type="paragraph" w:styleId="1074" w:customStyle="1">
    <w:name w:val="Título;EDITAL 1.0"/>
    <w:basedOn w:val="1087"/>
    <w:next w:val="1087"/>
    <w:link w:val="1101"/>
    <w:pPr>
      <w:keepLines/>
      <w:keepNext/>
      <w:spacing w:before="480" w:after="120"/>
    </w:pPr>
    <w:rPr>
      <w:b/>
      <w:sz w:val="72"/>
      <w:szCs w:val="72"/>
    </w:rPr>
  </w:style>
  <w:style w:type="table" w:styleId="1075" w:customStyle="1">
    <w:name w:val="UserStyle_3"/>
    <w:basedOn w:val="904"/>
    <w:tblPr/>
  </w:style>
  <w:style w:type="character" w:styleId="1076" w:customStyle="1">
    <w:name w:val="Cabeçalho Char"/>
    <w:basedOn w:val="903"/>
    <w:link w:val="924"/>
  </w:style>
  <w:style w:type="character" w:styleId="1077" w:customStyle="1">
    <w:name w:val="Rodapé Char"/>
    <w:basedOn w:val="903"/>
    <w:link w:val="926"/>
    <w:uiPriority w:val="99"/>
  </w:style>
  <w:style w:type="paragraph" w:styleId="1078">
    <w:name w:val="Balloon Text"/>
    <w:basedOn w:val="893"/>
    <w:link w:val="1079"/>
    <w:semiHidden/>
    <w:rPr>
      <w:rFonts w:ascii="Lucida Grande" w:hAnsi="Lucida Grande"/>
      <w:sz w:val="18"/>
      <w:szCs w:val="18"/>
    </w:rPr>
  </w:style>
  <w:style w:type="character" w:styleId="1079" w:customStyle="1">
    <w:name w:val="Texto de balão Char"/>
    <w:link w:val="1078"/>
    <w:semiHidden/>
    <w:rPr>
      <w:rFonts w:ascii="Lucida Grande" w:hAnsi="Lucida Grande"/>
      <w:sz w:val="18"/>
      <w:szCs w:val="18"/>
    </w:rPr>
  </w:style>
  <w:style w:type="character" w:styleId="1080">
    <w:name w:val="Emphasis"/>
    <w:rPr>
      <w:caps/>
      <w:spacing w:val="5"/>
      <w:sz w:val="20"/>
      <w:szCs w:val="20"/>
    </w:rPr>
  </w:style>
  <w:style w:type="paragraph" w:styleId="1081" w:customStyle="1">
    <w:name w:val="Titulo Projeto"/>
    <w:basedOn w:val="1073"/>
    <w:link w:val="1083"/>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082" w:customStyle="1">
    <w:name w:val="Corpo texto com numeração"/>
    <w:basedOn w:val="915"/>
    <w:link w:val="1084"/>
    <w:pPr>
      <w:numPr>
        <w:ilvl w:val="1"/>
        <w:numId w:val="5"/>
      </w:numPr>
      <w:ind w:left="720" w:firstLine="0"/>
      <w:spacing w:after="200" w:line="276" w:lineRule="auto"/>
    </w:pPr>
    <w:rPr>
      <w:rFonts w:ascii="Cambria" w:hAnsi="Cambria" w:eastAsia="MS Mincho"/>
      <w:lang w:eastAsia="pt-BR"/>
    </w:rPr>
  </w:style>
  <w:style w:type="character" w:styleId="1083" w:customStyle="1">
    <w:name w:val="Titulo Projeto Char"/>
    <w:link w:val="1081"/>
    <w:rPr>
      <w:rFonts w:ascii="Calibri" w:hAnsi="Calibri" w:eastAsia="Times New Roman"/>
      <w:b/>
      <w:bCs/>
      <w:caps/>
      <w:color w:val="000000"/>
      <w:spacing w:val="-20"/>
      <w:shd w:val="clear" w:color="auto" w:fill="d9d9d9"/>
    </w:rPr>
  </w:style>
  <w:style w:type="character" w:styleId="1084" w:customStyle="1">
    <w:name w:val="Corpo texto com numeração Char"/>
    <w:link w:val="1082"/>
    <w:rPr>
      <w:rFonts w:ascii="Cambria" w:hAnsi="Cambria" w:eastAsia="MS Mincho"/>
      <w:sz w:val="22"/>
      <w:szCs w:val="22"/>
    </w:rPr>
  </w:style>
  <w:style w:type="paragraph" w:styleId="1085" w:customStyle="1">
    <w:name w:val="TEXTO"/>
    <w:basedOn w:val="893"/>
    <w:pPr>
      <w:ind w:firstLine="2160"/>
      <w:jc w:val="both"/>
    </w:pPr>
    <w:rPr>
      <w:rFonts w:ascii="Courier New" w:hAnsi="Courier New" w:eastAsia="Times New Roman"/>
      <w:lang w:eastAsia="ar-SA"/>
    </w:rPr>
  </w:style>
  <w:style w:type="character" w:styleId="1086">
    <w:name w:val="Hyperlink"/>
    <w:rPr>
      <w:color w:val="0000FF"/>
      <w:u w:val="single"/>
    </w:rPr>
  </w:style>
  <w:style w:type="paragraph" w:styleId="1087" w:customStyle="1">
    <w:name w:val="Normal1"/>
    <w:qFormat/>
    <w:rPr>
      <w:lang w:eastAsia="en-US"/>
    </w:rPr>
  </w:style>
  <w:style w:type="paragraph" w:styleId="1088">
    <w:name w:val="Revision"/>
    <w:hidden/>
    <w:semiHidden/>
    <w:rPr>
      <w:lang w:eastAsia="en-US"/>
    </w:rPr>
  </w:style>
  <w:style w:type="paragraph" w:styleId="1089" w:customStyle="1">
    <w:name w:val="Normal2"/>
    <w:rPr>
      <w:lang w:eastAsia="en-US"/>
    </w:rPr>
  </w:style>
  <w:style w:type="paragraph" w:styleId="1090" w:customStyle="1">
    <w:name w:val="Nivel 01"/>
    <w:basedOn w:val="1073"/>
    <w:next w:val="893"/>
    <w:link w:val="1097"/>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1"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092" w:customStyle="1">
    <w:name w:val="Citação Char"/>
    <w:link w:val="921"/>
    <w:rPr>
      <w:rFonts w:ascii="Arial" w:hAnsi="Arial" w:eastAsia="Calibri"/>
      <w:i/>
      <w:iCs/>
      <w:color w:val="000000"/>
      <w:szCs w:val="24"/>
      <w:shd w:val="clear" w:color="auto" w:fill="ffffcc"/>
    </w:rPr>
  </w:style>
  <w:style w:type="paragraph" w:styleId="1093" w:customStyle="1">
    <w:name w:val="citação 2"/>
    <w:basedOn w:val="921"/>
    <w:link w:val="1094"/>
  </w:style>
  <w:style w:type="character" w:styleId="1094" w:customStyle="1">
    <w:name w:val="citação 2 Char"/>
    <w:link w:val="1093"/>
    <w:rPr>
      <w:rFonts w:ascii="Arial" w:hAnsi="Arial" w:eastAsia="Calibri"/>
      <w:i/>
      <w:iCs/>
      <w:color w:val="000000"/>
      <w:szCs w:val="24"/>
      <w:shd w:val="clear" w:color="auto" w:fill="ffffcc"/>
    </w:rPr>
  </w:style>
  <w:style w:type="character" w:styleId="1095" w:customStyle="1">
    <w:name w:val="Quote Char"/>
    <w:link w:val="1096"/>
    <w:rPr>
      <w:rFonts w:ascii="Ecofont_Spranq_eco_Sans" w:hAnsi="Ecofont_Spranq_eco_Sans" w:eastAsia="Calibri"/>
      <w:i/>
      <w:iCs/>
      <w:color w:val="000000"/>
      <w:shd w:val="clear" w:color="auto" w:fill="ffffcc"/>
    </w:rPr>
  </w:style>
  <w:style w:type="paragraph" w:styleId="1096" w:customStyle="1">
    <w:name w:val="Citação1"/>
    <w:basedOn w:val="893"/>
    <w:next w:val="893"/>
    <w:link w:val="1095"/>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097" w:customStyle="1">
    <w:name w:val="Nivel 01 Char"/>
    <w:link w:val="1090"/>
    <w:rPr>
      <w:rFonts w:ascii="Ecofont_Spranq_eco_Sans" w:hAnsi="Ecofont_Spranq_eco_Sans" w:eastAsia="MS Gothic"/>
      <w:b/>
      <w:bCs/>
      <w:color w:val="000000"/>
    </w:rPr>
  </w:style>
  <w:style w:type="character" w:styleId="1098" w:customStyle="1">
    <w:name w:val="Menção Pendente1"/>
    <w:semiHidden/>
    <w:rPr>
      <w:color w:val="605E5C"/>
      <w:shd w:val="clear" w:color="auto" w:fill="e1dfdd"/>
    </w:rPr>
  </w:style>
  <w:style w:type="character" w:styleId="1099" w:customStyle="1">
    <w:name w:val="Título 1 Char"/>
    <w:link w:val="1073"/>
    <w:rPr>
      <w:rFonts w:ascii="Times New Roman" w:hAnsi="Times New Roman" w:eastAsia="Times New Roman"/>
      <w:b/>
      <w:sz w:val="24"/>
      <w:szCs w:val="24"/>
      <w:u w:val="single"/>
    </w:rPr>
  </w:style>
  <w:style w:type="paragraph" w:styleId="1100" w:customStyle="1">
    <w:name w:val="msonormal"/>
    <w:basedOn w:val="893"/>
    <w:pPr>
      <w:spacing w:before="100" w:beforeAutospacing="1" w:after="100" w:afterAutospacing="1"/>
    </w:pPr>
    <w:rPr>
      <w:rFonts w:ascii="Times New Roman" w:hAnsi="Times New Roman" w:eastAsia="Times New Roman"/>
      <w:sz w:val="24"/>
      <w:szCs w:val="24"/>
      <w:lang w:eastAsia="pt-BR"/>
    </w:rPr>
  </w:style>
  <w:style w:type="character" w:styleId="1101" w:customStyle="1">
    <w:name w:val="Título Char"/>
    <w:link w:val="1074"/>
    <w:rPr>
      <w:b/>
      <w:sz w:val="72"/>
      <w:szCs w:val="72"/>
    </w:rPr>
  </w:style>
  <w:style w:type="paragraph" w:styleId="1102">
    <w:name w:val="Body Text"/>
    <w:basedOn w:val="893"/>
    <w:link w:val="1103"/>
    <w:pPr>
      <w:widowControl w:val="off"/>
    </w:pPr>
    <w:rPr>
      <w:rFonts w:ascii="Arial" w:hAnsi="Arial" w:eastAsia="Arial"/>
      <w:lang w:val="pt-PT"/>
    </w:rPr>
  </w:style>
  <w:style w:type="character" w:styleId="1103" w:customStyle="1">
    <w:name w:val="Corpo de texto Char"/>
    <w:link w:val="1102"/>
    <w:semiHidden/>
    <w:rPr>
      <w:rFonts w:ascii="Arial" w:hAnsi="Arial" w:eastAsia="Arial"/>
      <w:lang w:val="pt-PT"/>
    </w:rPr>
  </w:style>
  <w:style w:type="paragraph" w:styleId="1104" w:customStyle="1">
    <w:name w:val="Table Paragraph"/>
    <w:basedOn w:val="893"/>
    <w:uiPriority w:val="1"/>
    <w:qFormat/>
    <w:pPr>
      <w:widowControl w:val="off"/>
    </w:pPr>
    <w:rPr>
      <w:rFonts w:ascii="Times New Roman" w:hAnsi="Times New Roman" w:eastAsia="Times New Roman"/>
      <w:sz w:val="22"/>
      <w:szCs w:val="22"/>
      <w:lang w:val="pt-PT"/>
    </w:rPr>
  </w:style>
  <w:style w:type="table" w:styleId="1105"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06" w:customStyle="1">
    <w:name w:val="x_western"/>
    <w:basedOn w:val="893"/>
    <w:pPr>
      <w:spacing w:before="100" w:beforeAutospacing="1" w:after="100" w:afterAutospacing="1"/>
    </w:pPr>
    <w:rPr>
      <w:rFonts w:ascii="Times New Roman" w:hAnsi="Times New Roman" w:eastAsia="Times New Roman"/>
      <w:sz w:val="24"/>
      <w:szCs w:val="24"/>
      <w:lang w:eastAsia="pt-BR"/>
    </w:rPr>
  </w:style>
  <w:style w:type="character" w:styleId="1107" w:customStyle="1">
    <w:name w:val="Menção Pendente2"/>
    <w:semiHidden/>
    <w:rPr>
      <w:color w:val="605E5C"/>
      <w:shd w:val="clear" w:color="auto" w:fill="e1dfdd"/>
    </w:rPr>
  </w:style>
  <w:style w:type="character" w:styleId="1108" w:customStyle="1">
    <w:name w:val="Menção Pendente3"/>
    <w:semiHidden/>
    <w:rPr>
      <w:color w:val="605E5C"/>
      <w:shd w:val="clear" w:color="auto" w:fill="e1dfdd"/>
    </w:rPr>
  </w:style>
  <w:style w:type="table" w:styleId="1109" w:customStyle="1">
    <w:name w:val="2"/>
    <w:basedOn w:val="904"/>
    <w:tblPr/>
  </w:style>
  <w:style w:type="character" w:styleId="1110" w:customStyle="1">
    <w:name w:val="fontstyle01"/>
    <w:rPr>
      <w:rFonts w:ascii="TimesNewRoman" w:hAnsi="TimesNewRoman"/>
      <w:color w:val="000000"/>
      <w:sz w:val="14"/>
      <w:szCs w:val="14"/>
    </w:rPr>
  </w:style>
  <w:style w:type="paragraph" w:styleId="1111">
    <w:name w:val="Normal (Web)"/>
    <w:basedOn w:val="893"/>
    <w:pPr>
      <w:spacing w:before="100" w:beforeAutospacing="1" w:after="100" w:afterAutospacing="1"/>
    </w:pPr>
    <w:rPr>
      <w:rFonts w:ascii="Times New Roman" w:hAnsi="Times New Roman" w:eastAsia="Times New Roman"/>
      <w:sz w:val="24"/>
      <w:szCs w:val="24"/>
      <w:lang w:eastAsia="pt-BR"/>
    </w:rPr>
  </w:style>
  <w:style w:type="paragraph" w:styleId="1112">
    <w:name w:val="Body Text Indent"/>
    <w:basedOn w:val="893"/>
    <w:link w:val="1113"/>
    <w:semiHidden/>
    <w:pPr>
      <w:ind w:left="283"/>
      <w:spacing w:after="120"/>
    </w:pPr>
  </w:style>
  <w:style w:type="character" w:styleId="1113" w:customStyle="1">
    <w:name w:val="Recuo de corpo de texto Char"/>
    <w:link w:val="1112"/>
    <w:semiHidden/>
    <w:rPr>
      <w:lang w:eastAsia="en-US"/>
    </w:rPr>
  </w:style>
  <w:style w:type="character" w:styleId="1114" w:customStyle="1">
    <w:name w:val="markedcontent"/>
    <w:basedOn w:val="903"/>
  </w:style>
  <w:style w:type="table" w:styleId="1115" w:customStyle="1">
    <w:name w:val="Tabela com grade1"/>
    <w:basedOn w:val="904"/>
    <w:next w:val="930"/>
    <w:rPr>
      <w:rFonts w:ascii="Calibri" w:hAnsi="Calibri" w:eastAsia="Calibri"/>
      <w:sz w:val="22"/>
      <w:szCs w:val="22"/>
      <w:lang w:eastAsia="en-US"/>
    </w:rPr>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Downloads\ok\D.S.L\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revision>14</cp:revision>
  <dcterms:created xsi:type="dcterms:W3CDTF">2022-06-21T16:27:00Z</dcterms:created>
  <dcterms:modified xsi:type="dcterms:W3CDTF">2022-06-24T17:06:12Z</dcterms:modified>
</cp:coreProperties>
</file>