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28575" b="13335"/>
                <wp:wrapNone/>
                <wp:docPr id="3" name="Caixa de texto 6" hidden="0"/>
                <wp:cNvGraphicFramePr/>
                <a:graphic xmlns:a="http://schemas.openxmlformats.org/drawingml/2006/main">
                  <a:graphicData uri="http://schemas.microsoft.com/office/word/2010/wordprocessingShape">
                    <wps:wsp>
                      <wps:cNvPr id="0" name=""/>
                      <wps:cNvSpPr txBox="1"/>
                      <wps:spPr bwMode="auto">
                        <a:xfrm>
                          <a:off x="0" y="0"/>
                          <a:ext cx="2143125" cy="672465"/>
                        </a:xfrm>
                        <a:prstGeom prst="rect">
                          <a:avLst/>
                        </a:prstGeom>
                        <a:solidFill>
                          <a:srgbClr val="FFFFFF"/>
                        </a:solidFill>
                        <a:ln>
                          <a:solidFill>
                            <a:srgbClr val="000000"/>
                          </a:solidFill>
                        </a:ln>
                      </wps:spPr>
                      <wps:txbx>
                        <w:txbxContent>
                          <w:p>
                            <w:pPr>
                              <w:rPr>
                                <w:rFonts w:ascii="Arial" w:hAnsi="Arial" w:eastAsia="Arial"/>
                              </w:rPr>
                            </w:pPr>
                            <w:r>
                              <w:rPr>
                                <w:rFonts w:ascii="Arial" w:hAnsi="Arial"/>
                              </w:rPr>
                              <w:t xml:space="preserve">PMT-RJ                                        PROCESSO N º 26.701/2021</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24.7pt;mso-position-horizontal:absolute;mso-position-vertical-relative:text;margin-top:-97.4pt;mso-position-vertical:absolute;width:168.8pt;height:52.9pt;" coordsize="100000,100000" path="" fillcolor="#FFFFFF" strokecolor="#000000">
                <v:path textboxrect="0,0,0,0"/>
                <v:textbox>
                  <w:txbxContent>
                    <w:p>
                      <w:pPr>
                        <w:rPr>
                          <w:rFonts w:ascii="Arial" w:hAnsi="Arial" w:eastAsia="Arial"/>
                        </w:rPr>
                      </w:pPr>
                      <w:r>
                        <w:rPr>
                          <w:rFonts w:ascii="Arial" w:hAnsi="Arial"/>
                        </w:rPr>
                        <w:t xml:space="preserve">PMT-RJ                                        PROCESSO N º 26.701/2021</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168275</wp:posOffset>
                </wp:positionH>
                <wp:positionV relativeFrom="margin">
                  <wp:posOffset>-708025</wp:posOffset>
                </wp:positionV>
                <wp:extent cx="7240270" cy="10003155"/>
                <wp:effectExtent l="0" t="0" r="0" b="0"/>
                <wp:wrapNone/>
                <wp:docPr id="4" name="Imagem 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0"/>
                        <pic:cNvPicPr>
                          <a:picLocks noChangeAspect="1"/>
                        </pic:cNvPicPr>
                        <pic:nvPr isPhoto="0" userDrawn="0"/>
                      </pic:nvPicPr>
                      <pic:blipFill>
                        <a:blip r:embed="rId13"/>
                        <a:stretch/>
                      </pic:blipFill>
                      <pic:spPr bwMode="auto">
                        <a:xfrm>
                          <a:off x="0" y="0"/>
                          <a:ext cx="7240270" cy="1000315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13.2pt;mso-position-horizontal:absolute;mso-position-vertical-relative:margin;margin-top:-55.8pt;mso-position-vertical:absolute;width:570.1pt;height:787.6pt;" stroked="false">
                <v:path textboxrect="0,0,0,0"/>
                <v:imagedata r:id="rId13" o:title=""/>
              </v:shape>
            </w:pict>
          </mc:Fallback>
        </mc:AlternateContent>
      </w: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6336" w:leader="none"/>
        </w:tabs>
        <w:rPr>
          <w:rFonts w:ascii="Calibri" w:hAnsi="Calibri"/>
          <w:b/>
          <w:sz w:val="32"/>
        </w:rPr>
      </w:pPr>
      <w:r>
        <w:rPr>
          <w:rFonts w:ascii="Calibri" w:hAnsi="Calibri"/>
          <w:b/>
          <w:sz w:val="32"/>
        </w:rPr>
        <w:tab/>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5" name="Caixa de texto 3" hidden="0"/>
                <wp:cNvGraphicFramePr/>
                <a:graphic xmlns:a="http://schemas.openxmlformats.org/drawingml/2006/main">
                  <a:graphicData uri="http://schemas.microsoft.com/office/word/2010/wordprocessingShape">
                    <wps:wsp>
                      <wps:cNvPr id="0" name=""/>
                      <wps:cNvSpPr txBox="1"/>
                      <wps:spPr bwMode="auto">
                        <a:xfrm>
                          <a:off x="0" y="0"/>
                          <a:ext cx="5029200" cy="1943100"/>
                        </a:xfrm>
                        <a:prstGeom prst="rect">
                          <a:avLst/>
                        </a:prstGeom>
                        <a:noFill/>
                        <a:ln>
                          <a:noFill/>
                        </a:ln>
                      </wps:spPr>
                      <wps:txbx>
                        <w:txbxContent>
                          <w:p>
                            <w:pPr>
                              <w:jc w:val="right"/>
                              <w:rPr>
                                <w:rFonts w:ascii="Calibri" w:hAnsi="Calibri"/>
                                <w:b/>
                                <w:color w:val="404040"/>
                                <w:sz w:val="72"/>
                                <w:szCs w:val="52"/>
                              </w:rPr>
                            </w:pPr>
                            <w:r>
                              <w:rPr>
                                <w:rFonts w:ascii="Calibri" w:hAnsi="Calibri"/>
                                <w:b/>
                                <w:color w:val="404040"/>
                                <w:sz w:val="72"/>
                                <w:szCs w:val="52"/>
                              </w:rPr>
                              <w:t xml:space="preserve">EDITAL</w:t>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090</w:t>
                            </w:r>
                            <w:r>
                              <w:rPr>
                                <w:rFonts w:ascii="Calibri" w:hAnsi="Calibri"/>
                                <w:b/>
                                <w:color w:val="4BACC6"/>
                                <w:sz w:val="72"/>
                                <w:szCs w:val="52"/>
                              </w:rPr>
                              <w:t xml:space="preserve">/2022</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85.5pt;mso-position-horizontal:absolute;mso-position-vertical-relative:text;margin-top:15.1pt;mso-position-vertical:absolute;width:396.0pt;height:153.0pt;" coordsize="100000,100000" path="" filled="f" stroked="f">
                <v:path textboxrect="0,0,0,0"/>
                <v:textbox>
                  <w:txbxContent>
                    <w:p>
                      <w:pPr>
                        <w:jc w:val="right"/>
                        <w:rPr>
                          <w:rFonts w:ascii="Calibri" w:hAnsi="Calibri"/>
                          <w:b/>
                          <w:color w:val="404040"/>
                          <w:sz w:val="72"/>
                          <w:szCs w:val="52"/>
                        </w:rPr>
                      </w:pPr>
                      <w:r>
                        <w:rPr>
                          <w:rFonts w:ascii="Calibri" w:hAnsi="Calibri"/>
                          <w:b/>
                          <w:color w:val="404040"/>
                          <w:sz w:val="72"/>
                          <w:szCs w:val="52"/>
                        </w:rPr>
                        <w:t xml:space="preserve">EDITAL</w:t>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090</w:t>
                      </w:r>
                      <w:r>
                        <w:rPr>
                          <w:rFonts w:ascii="Calibri" w:hAnsi="Calibri"/>
                          <w:b/>
                          <w:color w:val="4BACC6"/>
                          <w:sz w:val="72"/>
                          <w:szCs w:val="52"/>
                        </w:rPr>
                        <w:t xml:space="preserve">/2022</w:t>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-549275</wp:posOffset>
                </wp:positionH>
                <wp:positionV relativeFrom="paragraph">
                  <wp:posOffset>112395</wp:posOffset>
                </wp:positionV>
                <wp:extent cx="6663690" cy="2152650"/>
                <wp:effectExtent l="0" t="0" r="0" b="0"/>
                <wp:wrapNone/>
                <wp:docPr id="6" name="Caixa de texto 2" hidden="0"/>
                <wp:cNvGraphicFramePr/>
                <a:graphic xmlns:a="http://schemas.openxmlformats.org/drawingml/2006/main">
                  <a:graphicData uri="http://schemas.microsoft.com/office/word/2010/wordprocessingShape">
                    <wps:wsp>
                      <wps:cNvPr id="0" name=""/>
                      <wps:cNvSpPr txBox="1"/>
                      <wps:spPr bwMode="auto">
                        <a:xfrm>
                          <a:off x="0" y="0"/>
                          <a:ext cx="6663690" cy="2152650"/>
                        </a:xfrm>
                        <a:prstGeom prst="rect">
                          <a:avLst/>
                        </a:prstGeom>
                        <a:noFill/>
                        <a:ln>
                          <a:noFill/>
                        </a:ln>
                      </wps:spPr>
                      <wps:txbx>
                        <w:txbxContent>
                          <w:p>
                            <w:pPr>
                              <w:jc w:val="center"/>
                              <w:rPr>
                                <w:rFonts w:ascii="Arial" w:hAnsi="Arial" w:eastAsia="Cambria"/>
                                <w:sz w:val="40"/>
                                <w:szCs w:val="40"/>
                              </w:rPr>
                            </w:pPr>
                            <w:r>
                              <w:rPr>
                                <w:rFonts w:ascii="Arial" w:hAnsi="Arial" w:eastAsia="Cambria"/>
                                <w:sz w:val="40"/>
                                <w:szCs w:val="40"/>
                              </w:rPr>
                              <w:t xml:space="preserve">REGISTRO DE PREÇOS PARA FUTURA CONTRATAÇÃO DE SERVIÇO DE BUFFET PARA AS SECRETARIAS MUNICIPAIS DE EDUCAÇÃO E DE GOVERNO E COORDENAÇÃO</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04/</w:t>
                            </w:r>
                            <w:r>
                              <w:rPr>
                                <w:rFonts w:ascii="Arial" w:hAnsi="Arial"/>
                                <w:sz w:val="40"/>
                              </w:rPr>
                              <w:t xml:space="preserve">10/2022 às </w:t>
                            </w:r>
                            <w:r>
                              <w:rPr>
                                <w:rFonts w:ascii="Arial" w:hAnsi="Arial"/>
                                <w:sz w:val="40"/>
                              </w:rPr>
                              <w:t xml:space="preserve">10</w:t>
                            </w:r>
                            <w:r>
                              <w:rPr>
                                <w:rFonts w:ascii="Arial" w:hAnsi="Arial"/>
                                <w:sz w:val="40"/>
                              </w:rPr>
                              <w:t xml:space="preserve">h00</w:t>
                            </w:r>
                            <w:r/>
                          </w:p>
                          <w:p>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43.2pt;mso-position-horizontal:absolute;mso-position-vertical-relative:text;margin-top:8.8pt;mso-position-vertical:absolute;width:524.7pt;height:169.5pt;" coordsize="100000,100000" path="" filled="f" stroked="f">
                <v:path textboxrect="0,0,0,0"/>
                <v:textbox>
                  <w:txbxContent>
                    <w:p>
                      <w:pPr>
                        <w:jc w:val="center"/>
                        <w:rPr>
                          <w:rFonts w:ascii="Arial" w:hAnsi="Arial" w:eastAsia="Cambria"/>
                          <w:sz w:val="40"/>
                          <w:szCs w:val="40"/>
                        </w:rPr>
                      </w:pPr>
                      <w:r>
                        <w:rPr>
                          <w:rFonts w:ascii="Arial" w:hAnsi="Arial" w:eastAsia="Cambria"/>
                          <w:sz w:val="40"/>
                          <w:szCs w:val="40"/>
                        </w:rPr>
                        <w:t xml:space="preserve">REGISTRO DE PREÇOS PARA FUTURA CONTRATAÇÃO DE SERVIÇO DE BUFFET PARA AS SECRETARIAS MUNICIPAIS DE EDUCAÇÃO E DE GOVERNO E COORDENAÇÃO</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04/</w:t>
                      </w:r>
                      <w:r>
                        <w:rPr>
                          <w:rFonts w:ascii="Arial" w:hAnsi="Arial"/>
                          <w:sz w:val="40"/>
                        </w:rPr>
                        <w:t xml:space="preserve">10/2022 às </w:t>
                      </w:r>
                      <w:r>
                        <w:rPr>
                          <w:rFonts w:ascii="Arial" w:hAnsi="Arial"/>
                          <w:sz w:val="40"/>
                        </w:rPr>
                        <w:t xml:space="preserve">10</w:t>
                      </w:r>
                      <w:r>
                        <w:rPr>
                          <w:rFonts w:ascii="Arial" w:hAnsi="Arial"/>
                          <w:sz w:val="40"/>
                        </w:rPr>
                        <w:t xml:space="preserve">h00</w:t>
                      </w:r>
                      <w:r/>
                    </w:p>
                    <w:p>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pStyle w:val="1096"/>
        <w:ind w:right="49"/>
        <w:jc w:val="center"/>
        <w:spacing w:before="57" w:after="57" w:line="360" w:lineRule="auto"/>
        <w:rPr>
          <w:rFonts w:ascii="Arial" w:hAnsi="Arial" w:eastAsia="Arial"/>
          <w:b/>
          <w:sz w:val="24"/>
          <w:szCs w:val="24"/>
        </w:rPr>
      </w:pPr>
      <w:r>
        <w:rPr>
          <w:rFonts w:ascii="Arial" w:hAnsi="Arial" w:eastAsia="Arial"/>
          <w:b/>
          <w:sz w:val="24"/>
          <w:szCs w:val="24"/>
        </w:rPr>
      </w:r>
      <w:r/>
    </w:p>
    <w:p>
      <w:pPr>
        <w:pStyle w:val="1096"/>
        <w:ind w:right="49"/>
        <w:jc w:val="center"/>
        <w:spacing w:before="57" w:after="57" w:line="360" w:lineRule="auto"/>
        <w:rPr>
          <w:rFonts w:ascii="Arial" w:hAnsi="Arial" w:eastAsia="Arial"/>
          <w:b/>
          <w:sz w:val="24"/>
          <w:szCs w:val="24"/>
        </w:rPr>
      </w:pPr>
      <w:r>
        <w:rPr>
          <w:rFonts w:ascii="Arial" w:hAnsi="Arial" w:eastAsia="Arial"/>
          <w:b/>
          <w:sz w:val="24"/>
          <w:szCs w:val="24"/>
        </w:rPr>
        <w:t xml:space="preserve">EDITAL DE</w:t>
      </w:r>
      <w:r>
        <w:rPr>
          <w:rFonts w:ascii="Arial" w:hAnsi="Arial" w:eastAsia="Arial"/>
          <w:b/>
          <w:sz w:val="24"/>
          <w:szCs w:val="24"/>
        </w:rPr>
        <w:t xml:space="preserve"> PREGÃO ELETRÔNICO Nº </w:t>
      </w:r>
      <w:r>
        <w:rPr>
          <w:rFonts w:ascii="Arial" w:hAnsi="Arial" w:eastAsia="Arial"/>
          <w:b/>
          <w:sz w:val="24"/>
          <w:szCs w:val="24"/>
        </w:rPr>
        <w:t xml:space="preserve">090</w:t>
      </w:r>
      <w:r>
        <w:rPr>
          <w:rFonts w:ascii="Arial" w:hAnsi="Arial" w:eastAsia="Arial"/>
          <w:b/>
          <w:sz w:val="24"/>
          <w:szCs w:val="24"/>
        </w:rPr>
        <w:t xml:space="preserve">/2022</w:t>
      </w:r>
      <w:r/>
    </w:p>
    <w:p>
      <w:pPr>
        <w:pStyle w:val="1096"/>
        <w:ind w:right="49"/>
        <w:jc w:val="center"/>
        <w:spacing w:before="57" w:after="57" w:line="360" w:lineRule="auto"/>
        <w:rPr>
          <w:rFonts w:ascii="Arial" w:hAnsi="Arial" w:eastAsia="Arial"/>
          <w:b/>
          <w:sz w:val="24"/>
          <w:szCs w:val="24"/>
        </w:rPr>
      </w:pPr>
      <w:r>
        <w:rPr>
          <w:rFonts w:ascii="Arial" w:hAnsi="Arial" w:eastAsia="Arial"/>
          <w:b/>
          <w:sz w:val="24"/>
          <w:szCs w:val="24"/>
        </w:rPr>
        <w:t xml:space="preserve">PROCESSO ADMINISTRATIVO Nº 26.701/2021</w:t>
      </w:r>
      <w:r/>
    </w:p>
    <w:p>
      <w:pPr>
        <w:pStyle w:val="1096"/>
        <w:ind w:right="49"/>
        <w:jc w:val="both"/>
        <w:spacing w:before="57" w:after="57" w:line="360" w:lineRule="auto"/>
        <w:rPr>
          <w:rFonts w:ascii="Arial" w:hAnsi="Arial" w:eastAsia="Arial"/>
          <w:b/>
          <w:sz w:val="24"/>
          <w:szCs w:val="24"/>
        </w:rPr>
      </w:pPr>
      <w:r>
        <w:rPr>
          <w:rFonts w:ascii="Arial" w:hAnsi="Arial" w:eastAsia="Arial"/>
          <w:b/>
          <w:sz w:val="24"/>
          <w:szCs w:val="24"/>
        </w:rPr>
      </w:r>
      <w:r/>
    </w:p>
    <w:p>
      <w:pPr>
        <w:pStyle w:val="1096"/>
        <w:ind w:right="49"/>
        <w:jc w:val="both"/>
        <w:spacing w:before="57" w:after="57" w:line="360" w:lineRule="auto"/>
        <w:rPr>
          <w:rFonts w:ascii="Arial" w:hAnsi="Arial" w:eastAsia="Arial"/>
          <w:b/>
          <w:sz w:val="24"/>
          <w:szCs w:val="24"/>
        </w:rPr>
      </w:pPr>
      <w:r>
        <w:rPr>
          <w:rFonts w:ascii="Arial" w:hAnsi="Arial" w:eastAsia="Arial"/>
          <w:b/>
          <w:sz w:val="24"/>
          <w:szCs w:val="24"/>
        </w:rPr>
        <w:t xml:space="preserve">DATA DA ABERTURA: </w:t>
      </w:r>
      <w:r>
        <w:rPr>
          <w:rFonts w:ascii="Arial" w:hAnsi="Arial" w:eastAsia="Arial"/>
          <w:b/>
          <w:sz w:val="24"/>
          <w:szCs w:val="24"/>
        </w:rPr>
        <w:t xml:space="preserve">04/10</w:t>
      </w:r>
      <w:r>
        <w:rPr>
          <w:rFonts w:ascii="Arial" w:hAnsi="Arial" w:eastAsia="Arial"/>
          <w:b/>
          <w:sz w:val="24"/>
          <w:szCs w:val="24"/>
        </w:rPr>
        <w:t xml:space="preserve">/2022</w:t>
      </w:r>
      <w:r/>
    </w:p>
    <w:p>
      <w:pPr>
        <w:pStyle w:val="1096"/>
        <w:ind w:right="49"/>
        <w:jc w:val="both"/>
        <w:spacing w:before="57" w:after="57" w:line="360" w:lineRule="auto"/>
        <w:rPr>
          <w:rFonts w:ascii="Arial" w:hAnsi="Arial" w:eastAsia="Arial"/>
          <w:sz w:val="24"/>
          <w:szCs w:val="24"/>
        </w:rPr>
      </w:pPr>
      <w:r>
        <w:rPr>
          <w:rFonts w:ascii="Arial" w:hAnsi="Arial" w:eastAsia="Arial"/>
          <w:b/>
          <w:sz w:val="24"/>
          <w:szCs w:val="24"/>
        </w:rPr>
        <w:t xml:space="preserve">HORÁRIO: </w:t>
      </w:r>
      <w:r>
        <w:rPr>
          <w:rFonts w:ascii="Arial" w:hAnsi="Arial" w:eastAsia="Arial"/>
          <w:b/>
          <w:sz w:val="24"/>
          <w:szCs w:val="24"/>
        </w:rPr>
        <w:t xml:space="preserve">10</w:t>
      </w:r>
      <w:r>
        <w:rPr>
          <w:rFonts w:ascii="Arial" w:hAnsi="Arial" w:eastAsia="Arial"/>
          <w:b/>
          <w:sz w:val="24"/>
          <w:szCs w:val="24"/>
        </w:rPr>
        <w:t xml:space="preserve">h00</w:t>
      </w:r>
      <w:r/>
    </w:p>
    <w:p>
      <w:pPr>
        <w:pStyle w:val="1096"/>
        <w:ind w:right="49"/>
        <w:jc w:val="both"/>
        <w:spacing w:before="57" w:after="57" w:line="360" w:lineRule="auto"/>
        <w:rPr>
          <w:rFonts w:ascii="Arial" w:hAnsi="Arial"/>
          <w:sz w:val="24"/>
          <w:szCs w:val="24"/>
        </w:rPr>
      </w:pPr>
      <w:r>
        <w:rPr>
          <w:rFonts w:ascii="Arial" w:hAnsi="Arial" w:eastAsia="Arial"/>
          <w:b/>
          <w:sz w:val="24"/>
          <w:szCs w:val="24"/>
        </w:rPr>
        <w:t xml:space="preserve">LOCAL DA SESSÃO PÚBLICA:</w:t>
      </w:r>
      <w:r>
        <w:rPr>
          <w:rFonts w:ascii="Arial" w:hAnsi="Arial" w:eastAsia="Arial"/>
          <w:sz w:val="24"/>
          <w:szCs w:val="24"/>
        </w:rPr>
        <w:t xml:space="preserve"> </w:t>
      </w:r>
      <w:r>
        <w:rPr>
          <w:rFonts w:ascii="Arial" w:hAnsi="Arial"/>
          <w:sz w:val="24"/>
          <w:szCs w:val="24"/>
        </w:rPr>
        <w:t xml:space="preserve">Portal de Compras do Governo Federal – </w:t>
      </w:r>
      <w:hyperlink r:id="rId14" w:tooltip="https://www.gov.br/compras/pt-br/" w:history="1">
        <w:r>
          <w:rPr>
            <w:rStyle w:val="1095"/>
            <w:rFonts w:ascii="Arial" w:hAnsi="Arial"/>
            <w:color w:val="000000"/>
            <w:sz w:val="24"/>
            <w:szCs w:val="24"/>
          </w:rPr>
          <w:t xml:space="preserve">https://www.gov.br/compras/pt-br/</w:t>
        </w:r>
      </w:hyperlink>
      <w:r/>
      <w:r/>
    </w:p>
    <w:p>
      <w:pPr>
        <w:pStyle w:val="1096"/>
        <w:ind w:right="49"/>
        <w:jc w:val="both"/>
        <w:spacing w:before="57" w:after="57" w:line="360" w:lineRule="auto"/>
        <w:rPr>
          <w:rFonts w:ascii="Arial" w:hAnsi="Arial"/>
          <w:sz w:val="24"/>
          <w:szCs w:val="24"/>
        </w:rPr>
      </w:pPr>
      <w:r>
        <w:rPr>
          <w:rFonts w:ascii="Arial" w:hAnsi="Arial" w:eastAsia="Arial"/>
          <w:b/>
          <w:sz w:val="24"/>
          <w:szCs w:val="24"/>
        </w:rPr>
        <w:t xml:space="preserve">UASG DA PREFEITURA MUNICIPAL DE TERESÓPOLIS:</w:t>
      </w:r>
      <w:r>
        <w:rPr>
          <w:rFonts w:ascii="Arial" w:hAnsi="Arial" w:eastAsia="Arial"/>
          <w:sz w:val="24"/>
          <w:szCs w:val="24"/>
        </w:rPr>
        <w:t xml:space="preserve"> 985915</w:t>
      </w:r>
      <w:r/>
    </w:p>
    <w:p>
      <w:pPr>
        <w:pStyle w:val="1096"/>
        <w:ind w:right="49"/>
        <w:jc w:val="both"/>
        <w:spacing w:before="57" w:after="57" w:line="360" w:lineRule="auto"/>
        <w:rPr>
          <w:rFonts w:ascii="Arial" w:hAnsi="Arial" w:eastAsia="Arial"/>
          <w:sz w:val="24"/>
          <w:szCs w:val="24"/>
        </w:rPr>
      </w:pPr>
      <w:r>
        <w:rPr>
          <w:rFonts w:ascii="Arial" w:hAnsi="Arial" w:eastAsia="Arial"/>
          <w:sz w:val="24"/>
          <w:szCs w:val="24"/>
        </w:rPr>
      </w:r>
      <w:r/>
    </w:p>
    <w:p>
      <w:pPr>
        <w:jc w:val="both"/>
        <w:spacing w:before="57" w:after="57" w:line="360" w:lineRule="auto"/>
        <w:rPr>
          <w:rFonts w:ascii="Arial" w:hAnsi="Arial" w:eastAsia="Arial"/>
          <w:b/>
          <w:sz w:val="24"/>
          <w:szCs w:val="24"/>
        </w:rPr>
      </w:pPr>
      <w:r>
        <w:rPr>
          <w:rFonts w:ascii="Arial" w:hAnsi="Arial" w:eastAsia="Arial"/>
          <w:sz w:val="24"/>
          <w:szCs w:val="24"/>
        </w:rPr>
        <w:t xml:space="preserve">O MUNICÍPIO DE TERESÓPOLIS, através de seu Pregoeiro, nomeado pela da </w:t>
      </w:r>
      <w:bookmarkStart w:id="0" w:name="_GoBack"/>
      <w:r>
        <w:rPr>
          <w:rFonts w:ascii="Arial" w:hAnsi="Arial" w:eastAsia="Arial"/>
          <w:sz w:val="24"/>
          <w:szCs w:val="24"/>
        </w:rPr>
        <w:t xml:space="preserve">Portaria G.P. nº 75, de 21 de janeiro de 2022 e suas alterações, de conformidade com </w:t>
      </w:r>
      <w:bookmarkEnd w:id="0"/>
      <w:r>
        <w:rPr>
          <w:rFonts w:ascii="Arial" w:hAnsi="Arial" w:eastAsia="Arial"/>
          <w:sz w:val="24"/>
          <w:szCs w:val="24"/>
        </w:rPr>
        <w:t xml:space="preserve">o processo administrativo nº 26.701/2021, comunica aos interessados que irá realizar</w:t>
      </w:r>
      <w:r>
        <w:rPr>
          <w:rFonts w:ascii="Arial" w:hAnsi="Arial" w:eastAsia="Arial"/>
          <w:sz w:val="24"/>
          <w:szCs w:val="24"/>
        </w:rPr>
        <w:t xml:space="preserve"> </w:t>
      </w:r>
      <w:r>
        <w:rPr>
          <w:rFonts w:ascii="Arial" w:hAnsi="Arial" w:eastAsia="Arial"/>
          <w:b/>
          <w:sz w:val="24"/>
          <w:szCs w:val="24"/>
        </w:rPr>
        <w:t xml:space="preserve">PREGÃO ELETRÔNICO DO TIPO MENOR PREÇO POR LOTE PARA REGISTRO DE PREÇOS, PELO PERÍODO DE 12 (DOZE) MESES, PARA FUTURA CONTRATAÇÃO DE SERVIÇO DE BUFFET PARA AS SECRETARIAS MUNICIPAIS DE EDUCAÇÃO E DE GOVERNO E COORDENAÇÃO</w:t>
      </w:r>
      <w:r>
        <w:rPr>
          <w:rFonts w:ascii="Arial" w:hAnsi="Arial" w:eastAsia="Arial"/>
          <w:b/>
          <w:sz w:val="24"/>
          <w:szCs w:val="24"/>
        </w:rPr>
        <w:t xml:space="preserve">, </w:t>
      </w:r>
      <w:r>
        <w:rPr>
          <w:rFonts w:ascii="Arial" w:hAnsi="Arial" w:eastAsia="Arial"/>
          <w:sz w:val="24"/>
          <w:szCs w:val="24"/>
        </w:rPr>
        <w:t xml:space="preserve">com observância nos Decretos Municipais nº 3.674 de 18 de maio de 2009, 4.845 de 7 de fevereiro de 2017, 5.334 de 15 de julho de 2020,</w:t>
      </w:r>
      <w:r>
        <w:rPr>
          <w:rFonts w:ascii="Arial" w:hAnsi="Arial" w:eastAsia="Arial"/>
          <w:b/>
          <w:sz w:val="24"/>
          <w:szCs w:val="24"/>
        </w:rPr>
        <w:t xml:space="preserve"> </w:t>
      </w:r>
      <w:r>
        <w:rPr>
          <w:rFonts w:ascii="Arial" w:hAnsi="Arial" w:eastAsia="Arial"/>
          <w:sz w:val="24"/>
          <w:szCs w:val="24"/>
        </w:rPr>
        <w:t xml:space="preserve">ao Decreto Federal nº 10.024, de 20 de setembro de 2019, com observância da Lei Federal nº 10.520 de 17 de julho de 2002 e </w:t>
      </w:r>
      <w:r>
        <w:rPr>
          <w:rFonts w:ascii="Arial" w:hAnsi="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jc w:val="both"/>
        <w:spacing w:before="57" w:after="57" w:line="360" w:lineRule="auto"/>
        <w:rPr>
          <w:rFonts w:ascii="Arial" w:hAnsi="Arial" w:eastAsia="Arial"/>
          <w:sz w:val="24"/>
          <w:szCs w:val="24"/>
        </w:rPr>
      </w:pPr>
      <w:r>
        <w:rPr>
          <w:rFonts w:ascii="Arial" w:hAnsi="Arial" w:eastAsia="Arial"/>
          <w:sz w:val="24"/>
          <w:szCs w:val="24"/>
        </w:rPr>
      </w:r>
      <w:r/>
    </w:p>
    <w:p>
      <w:pPr>
        <w:pStyle w:val="1096"/>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OBJETO:</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b/>
          <w:bCs/>
          <w:sz w:val="24"/>
          <w:szCs w:val="24"/>
        </w:rPr>
      </w:pPr>
      <w:r/>
      <w:bookmarkStart w:id="1" w:name="_Hlk108528527"/>
      <w:r>
        <w:rPr>
          <w:rFonts w:ascii="Arial" w:hAnsi="Arial"/>
          <w:sz w:val="24"/>
          <w:szCs w:val="24"/>
        </w:rPr>
        <w:t xml:space="preserve">O objeto da presente licitação é a escolha da proposta mais vantajosa para o </w:t>
      </w:r>
      <w:r>
        <w:rPr>
          <w:rFonts w:ascii="Arial" w:hAnsi="Arial" w:eastAsia="Arial"/>
          <w:b/>
          <w:sz w:val="24"/>
          <w:szCs w:val="24"/>
        </w:rPr>
        <w:t xml:space="preserve">REGISTRO DE PREÇOS, PELO PERÍODO DE 12 (DOZE) MESES, PARA FUTURA CONTRATAÇÃO DE SERVIÇO DE BUFFET PARA AS SECRETARIAS MUNICIPAIS DE EDUCAÇÃO E DE GOVERNO E </w:t>
      </w:r>
      <w:r>
        <w:rPr>
          <w:rFonts w:ascii="Arial" w:hAnsi="Arial" w:eastAsia="Arial"/>
          <w:b/>
          <w:sz w:val="24"/>
          <w:szCs w:val="24"/>
        </w:rPr>
        <w:t xml:space="preserve">COORDENAÇÃO</w:t>
      </w:r>
      <w:r>
        <w:rPr>
          <w:rFonts w:ascii="Arial" w:hAnsi="Arial"/>
          <w:sz w:val="24"/>
          <w:szCs w:val="24"/>
        </w:rPr>
        <w:t xml:space="preserve">, conforme condições, quantidades e exigências estabelecidas neste Edital e seus anexos.</w:t>
      </w:r>
      <w:bookmarkEnd w:id="1"/>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iCs/>
          <w:sz w:val="24"/>
        </w:rPr>
      </w:pPr>
      <w:r>
        <w:rPr>
          <w:rFonts w:ascii="Arial" w:hAnsi="Arial"/>
          <w:b/>
          <w:bCs/>
          <w:iCs/>
          <w:sz w:val="24"/>
        </w:rPr>
        <w:t xml:space="preserve">Havendo divergência entre a especificação dos itens cadastrados no </w:t>
      </w:r>
      <w:r>
        <w:rPr>
          <w:rFonts w:ascii="Arial" w:hAnsi="Arial"/>
          <w:b/>
          <w:bCs/>
          <w:iCs/>
          <w:sz w:val="24"/>
        </w:rPr>
        <w:t xml:space="preserve">ComprasNet</w:t>
      </w:r>
      <w:r>
        <w:rPr>
          <w:rFonts w:ascii="Arial" w:hAnsi="Arial"/>
          <w:b/>
          <w:bCs/>
          <w:iCs/>
          <w:sz w:val="24"/>
        </w:rPr>
        <w:t xml:space="preserve"> e no Termo de Referência (ANEXO I) do Edital, PREVALECERÁ, imprescindivelmente, a especificação contida no Termo de Referência.</w:t>
      </w:r>
      <w:r/>
    </w:p>
    <w:p>
      <w:pPr>
        <w:pStyle w:val="1100"/>
        <w:ind w:right="49" w:firstLine="0"/>
        <w:keepNext w:val="0"/>
        <w:spacing w:before="57" w:after="57" w:line="360" w:lineRule="auto"/>
        <w:shd w:val="clear" w:color="auto" w:fill="auto"/>
        <w:widowControl/>
        <w:tabs>
          <w:tab w:val="left" w:pos="851" w:leader="none"/>
        </w:tabs>
        <w:rPr>
          <w:rFonts w:ascii="Arial" w:hAnsi="Arial"/>
          <w:sz w:val="24"/>
        </w:rPr>
      </w:pPr>
      <w:r>
        <w:rPr>
          <w:rFonts w:ascii="Arial" w:hAnsi="Arial"/>
          <w:sz w:val="24"/>
        </w:rPr>
      </w:r>
      <w:r/>
    </w:p>
    <w:p>
      <w:pPr>
        <w:pStyle w:val="1096"/>
        <w:numPr>
          <w:ilvl w:val="0"/>
          <w:numId w:val="1"/>
        </w:numPr>
        <w:ind w:left="284" w:right="49" w:hanging="284"/>
        <w:jc w:val="both"/>
        <w:spacing w:before="57" w:after="57" w:line="360" w:lineRule="auto"/>
        <w:rPr>
          <w:rFonts w:ascii="Arial" w:hAnsi="Arial" w:cs="Arial"/>
          <w:b/>
          <w:sz w:val="24"/>
          <w:szCs w:val="24"/>
        </w:rPr>
      </w:pPr>
      <w:r>
        <w:rPr>
          <w:rFonts w:ascii="Arial" w:hAnsi="Arial" w:cs="Arial" w:eastAsia="Arial"/>
          <w:b/>
          <w:sz w:val="24"/>
          <w:szCs w:val="24"/>
        </w:rPr>
        <w:t xml:space="preserve">DO SISTEMA DE REGISTRO DE PREÇO</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As obrigações decorrentes deste PREGÃO ELETRÔNICO serão consubstanciadas em Ata de Registro de Preços, cuja minuta consta no Anexo VI.</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opção pelo Sistema de Registro de Preço – SRP t</w:t>
      </w:r>
      <w:r>
        <w:rPr>
          <w:rFonts w:ascii="Arial" w:hAnsi="Arial" w:cs="Arial"/>
          <w:bCs/>
          <w:sz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Ainda segundo o Decreto Federal nº 7.892</w:t>
      </w:r>
      <w:r>
        <w:rPr>
          <w:rFonts w:ascii="Arial" w:hAnsi="Arial" w:cs="Arial"/>
          <w:bCs/>
          <w:sz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b/>
          <w:bCs/>
          <w:sz w:val="24"/>
        </w:rPr>
        <w:t xml:space="preserve">12 (doze) meses</w:t>
      </w:r>
      <w:r>
        <w:rPr>
          <w:rFonts w:ascii="Arial" w:hAnsi="Arial" w:cs="Arial"/>
          <w:bCs/>
          <w:sz w:val="24"/>
        </w:rPr>
        <w:t xml:space="preserve">.</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SRP destinar-se-á ao atendimento das necessidades do município de Teresópolis, porém é admitida a adesão de órgãos não participantes.</w:t>
      </w:r>
      <w:r/>
    </w:p>
    <w:p>
      <w:pPr>
        <w:pStyle w:val="1100"/>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Ata de Registro de Preços, durante</w:t>
      </w:r>
      <w:r>
        <w:rPr>
          <w:rFonts w:ascii="Arial" w:hAnsi="Arial" w:cs="Arial"/>
          <w:bCs/>
          <w:sz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00"/>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Os órgãos e entidades da Administração Pública que não participa</w:t>
      </w:r>
      <w:r>
        <w:rPr>
          <w:rFonts w:ascii="Arial" w:hAnsi="Arial" w:cs="Arial"/>
          <w:bCs/>
          <w:sz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00"/>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manifestação do órgão gerenciador de que trata o item 2.6.2 deste Edital fica condicionada à realização de estudo, pelos órgãos e pela</w:t>
      </w:r>
      <w:r>
        <w:rPr>
          <w:rFonts w:ascii="Arial" w:hAnsi="Arial" w:cs="Arial"/>
          <w:bCs/>
          <w:sz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00"/>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quantitativo decorrente das adesões à Ata de Registro de Preços deverá observar os seguintes limitadores quantitativos, a serem fiscalizados pelo Órgão Gerenciador:</w:t>
      </w:r>
      <w:r/>
    </w:p>
    <w:p>
      <w:pPr>
        <w:pStyle w:val="1100"/>
        <w:numPr>
          <w:ilvl w:val="3"/>
          <w:numId w:val="1"/>
        </w:numPr>
        <w:ind w:left="2552" w:right="49" w:hanging="992"/>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Aquisições regulares:</w:t>
      </w:r>
      <w:r/>
    </w:p>
    <w:p>
      <w:pPr>
        <w:pStyle w:val="1100"/>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quantidade solicitada para cada órgão carona não poderá exceder a 100% do quantitativo total da Ata de Registro de Preços.</w:t>
      </w:r>
      <w:r/>
    </w:p>
    <w:p>
      <w:pPr>
        <w:pStyle w:val="1100"/>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soma de todas as adesões não poderá exceder ao dobro (2x) do quantitativo total de cada item registrado na Ata de Registro de Preços.</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Será incluído, na respectiva Ata de Registro de Preço na forma de anexo, o registro dos licitantes que aceitarem cotar o objeto com preços iguais aos do </w:t>
      </w:r>
      <w:r>
        <w:rPr>
          <w:rFonts w:ascii="Arial" w:hAnsi="Arial" w:cs="Arial"/>
          <w:bCs/>
          <w:sz w:val="24"/>
        </w:rPr>
        <w:t xml:space="preserve">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100"/>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 houver mais de um licitante na situação de que trata o item 2.7 deste Edital, serão classificados segundo a ordem da última proposta apresentada durante a fase competitiva.</w:t>
      </w:r>
      <w:r/>
    </w:p>
    <w:p>
      <w:pPr>
        <w:pStyle w:val="1100"/>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registro do fornecedor será cancelado quando:</w:t>
      </w:r>
      <w:r/>
    </w:p>
    <w:p>
      <w:pPr>
        <w:pStyle w:val="1096"/>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w:t>
      </w:r>
      <w:r>
        <w:rPr>
          <w:rFonts w:ascii="Arial" w:hAnsi="Arial" w:cs="Arial"/>
          <w:bCs/>
          <w:sz w:val="24"/>
          <w:szCs w:val="24"/>
        </w:rPr>
        <w:t xml:space="preserve">descumprir</w:t>
      </w:r>
      <w:r>
        <w:rPr>
          <w:rFonts w:ascii="Arial" w:hAnsi="Arial" w:cs="Arial"/>
          <w:bCs/>
          <w:sz w:val="24"/>
          <w:szCs w:val="24"/>
        </w:rPr>
        <w:t xml:space="preserve"> as condições da Ata de Registro de Preços;</w:t>
      </w:r>
      <w:r/>
    </w:p>
    <w:p>
      <w:pPr>
        <w:pStyle w:val="1096"/>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w:t>
      </w:r>
      <w:r>
        <w:rPr>
          <w:rFonts w:ascii="Arial" w:hAnsi="Arial" w:cs="Arial"/>
          <w:bCs/>
          <w:sz w:val="24"/>
          <w:szCs w:val="24"/>
        </w:rPr>
        <w:t xml:space="preserve">não</w:t>
      </w:r>
      <w:r>
        <w:rPr>
          <w:rFonts w:ascii="Arial" w:hAnsi="Arial" w:cs="Arial"/>
          <w:bCs/>
          <w:sz w:val="24"/>
          <w:szCs w:val="24"/>
        </w:rPr>
        <w:t xml:space="preserve"> retirar a nota de empenho ou instrumento equivalente no prazo estabelecido pela Administração, sem justificativa aceitável;</w:t>
      </w:r>
      <w:r/>
    </w:p>
    <w:p>
      <w:pPr>
        <w:pStyle w:val="1096"/>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096"/>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w:t>
      </w:r>
      <w:r>
        <w:rPr>
          <w:rFonts w:ascii="Arial" w:hAnsi="Arial" w:cs="Arial"/>
          <w:bCs/>
          <w:sz w:val="24"/>
          <w:szCs w:val="24"/>
        </w:rPr>
        <w:t xml:space="preserve">e</w:t>
      </w:r>
      <w:r>
        <w:rPr>
          <w:rFonts w:ascii="Arial" w:hAnsi="Arial" w:cs="Arial"/>
          <w:bCs/>
          <w:sz w:val="24"/>
          <w:szCs w:val="24"/>
        </w:rPr>
        <w:t xml:space="preserve"> outras hipóteses na forma da lei.</w:t>
      </w:r>
      <w:r/>
    </w:p>
    <w:p>
      <w:pPr>
        <w:pStyle w:val="1100"/>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de registros nas hipóteses previstas nos incisos I, II, III e IV do item 2.8 deste Edital será formalizado por despacho do Órgão Gerenciador da Ata, assegurado o contraditório e a ampla defesa.</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do registro de preços poderá ocorrer por fato superveniente, decorrente de caso fortuito ou força maior, que prejudique o cumprimento da ata, devidamente comprovados e justificados:</w:t>
      </w:r>
      <w:r/>
    </w:p>
    <w:p>
      <w:pPr>
        <w:pStyle w:val="1096"/>
        <w:numPr>
          <w:ilvl w:val="0"/>
          <w:numId w:val="15"/>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Por razão de interesse público; ou</w:t>
      </w:r>
      <w:r/>
    </w:p>
    <w:p>
      <w:pPr>
        <w:pStyle w:val="1096"/>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A pedido do fornecedor, que poderá ser liberado quando:</w:t>
      </w:r>
      <w:r/>
    </w:p>
    <w:p>
      <w:pPr>
        <w:pStyle w:val="1096"/>
        <w:ind w:left="993" w:right="49"/>
        <w:jc w:val="both"/>
        <w:spacing w:after="240" w:line="276" w:lineRule="auto"/>
        <w:rPr>
          <w:rFonts w:ascii="Arial" w:hAnsi="Arial" w:cs="Arial"/>
          <w:bCs/>
          <w:sz w:val="24"/>
          <w:szCs w:val="24"/>
        </w:rPr>
      </w:pPr>
      <w:r>
        <w:rPr>
          <w:rFonts w:ascii="Arial" w:hAnsi="Arial" w:cs="Arial"/>
          <w:bCs/>
          <w:sz w:val="24"/>
          <w:szCs w:val="24"/>
        </w:rPr>
        <w:t xml:space="preserve">I) O preço de mercado esteja superior ao preço registrado e o fornecedor não puder mantê-lo; e</w:t>
      </w:r>
      <w:r/>
    </w:p>
    <w:p>
      <w:pPr>
        <w:pStyle w:val="1096"/>
        <w:numPr>
          <w:ilvl w:val="0"/>
          <w:numId w:val="16"/>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
          <w:bCs/>
          <w:sz w:val="24"/>
          <w:szCs w:val="24"/>
        </w:rPr>
        <w:t xml:space="preserve">A comunicação deste fato ocorra antes do pedido de fornecimento.</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Da competência do Órgão Gerenciador da Ata de Registro de Preço.</w:t>
      </w:r>
      <w:r/>
    </w:p>
    <w:p>
      <w:pPr>
        <w:pStyle w:val="1100"/>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É de exclusiva competência da Prefeitura </w:t>
      </w:r>
      <w:r>
        <w:rPr>
          <w:rFonts w:ascii="Arial" w:hAnsi="Arial" w:cs="Arial"/>
          <w:bCs/>
          <w:sz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Promover os atos necessários à instrução processual, para a realização do procedimento licitatório;</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pesquisa de mercado para identificação do valor estimado da licitação e consolidar os dados das pesquisas de mercado realizadas pelos órgãos e entidades participantes;</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Confirmar junto aos órgãos participantes a sua concordância com o objeto a ser licitado, inclusive quanto aos quantitativos e Termo de Referência;</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o procedimento licitatório, com apoio do Pregoeiro e da Equipe de Pregão;</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Gerenciar a Ata de Registro de Preços;</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Conduzir eventuais renegociações dos preços registrados;</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de infrações no procedimento licitatório;</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do descumprimento do pactuado na ata de registro de preços.</w:t>
      </w:r>
      <w:r/>
    </w:p>
    <w:p>
      <w:pPr>
        <w:pStyle w:val="1100"/>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Todas as hipóteses previstas no Decreto Municipal nº 4.845/2017.</w:t>
      </w:r>
      <w:r/>
    </w:p>
    <w:p>
      <w:pPr>
        <w:pStyle w:val="1100"/>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100"/>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assinatura da Ata de Registro de Preços, constando os licitantes vencedores, quantitativos e respectivos preços e o encaminhamento de sua cópia aos órgãos ou entidades participantes; e</w:t>
      </w:r>
      <w:r/>
    </w:p>
    <w:p>
      <w:pPr>
        <w:pStyle w:val="1100"/>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indicação dos fornecedores para atendimento às demandas, observada a ordem de classificação e os quantitativos de contratação definidos pelos órgãos e entidades participantes.</w:t>
      </w:r>
      <w:r/>
    </w:p>
    <w:p>
      <w:pPr>
        <w:pStyle w:val="1100"/>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eastAsia="Roman 12cpi"/>
          <w:bCs/>
          <w:sz w:val="24"/>
        </w:rPr>
      </w:pPr>
      <w:r>
        <w:rPr>
          <w:rFonts w:ascii="Arial" w:hAnsi="Arial" w:cs="Arial"/>
          <w:bCs/>
          <w:sz w:val="24"/>
        </w:rPr>
        <w:t xml:space="preserve">A Ata de Registro de Preços deverá ser assinada por todos os órgãos participantes e licitantes classificados.</w:t>
      </w:r>
      <w:r/>
    </w:p>
    <w:p>
      <w:pPr>
        <w:pStyle w:val="1100"/>
        <w:ind w:left="851" w:right="49" w:firstLine="0"/>
        <w:keepNext w:val="0"/>
        <w:spacing w:before="57" w:after="57" w:line="360" w:lineRule="auto"/>
        <w:shd w:val="clear" w:color="auto" w:fill="auto"/>
        <w:widowControl/>
        <w:tabs>
          <w:tab w:val="left" w:pos="851" w:leader="none"/>
        </w:tabs>
        <w:rPr>
          <w:rFonts w:ascii="Arial" w:hAnsi="Arial" w:cs="Arial" w:eastAsia="Roman 12cpi"/>
          <w:bCs/>
          <w:sz w:val="24"/>
        </w:rPr>
      </w:pPr>
      <w:r>
        <w:rPr>
          <w:rFonts w:ascii="Arial" w:hAnsi="Arial" w:cs="Arial" w:eastAsia="Roman 12cpi"/>
          <w:bCs/>
          <w:sz w:val="24"/>
        </w:rPr>
      </w:r>
      <w:r/>
    </w:p>
    <w:p>
      <w:pPr>
        <w:pStyle w:val="1096"/>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CREDENCIAMENTO:</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bCs/>
          <w:iCs/>
          <w:sz w:val="24"/>
          <w:szCs w:val="24"/>
        </w:rPr>
        <w:t xml:space="preserve">O Credenciamento é o nível básico do registro cadastral no SICAF, que permite a participação dos interessados na modalidade licitatória Pregão, em sua forma eletrônica.</w:t>
      </w:r>
      <w:r>
        <w:rPr>
          <w:rFonts w:ascii="Arial" w:hAnsi="Arial"/>
          <w:sz w:val="24"/>
          <w:szCs w:val="24"/>
        </w:rPr>
        <w:t xml:space="preserve"> </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cadastro no SICAF deverá ser feito no Portal de Compras do Governo Federal, sítio </w:t>
      </w:r>
      <w:hyperlink r:id="rId15" w:tooltip="https://www.comprasgovernamentais.gov.br/index.php/sicaf" w:history="1">
        <w:r>
          <w:rPr>
            <w:rStyle w:val="1095"/>
            <w:rFonts w:ascii="Arial" w:hAnsi="Arial"/>
            <w:color w:val="000000"/>
            <w:sz w:val="24"/>
            <w:szCs w:val="24"/>
          </w:rPr>
          <w:t xml:space="preserve">https://www.comprasgovernamentais.gov.br/index.php/sicaf</w:t>
        </w:r>
      </w:hyperlink>
      <w:r>
        <w:rPr>
          <w:rFonts w:ascii="Arial" w:hAnsi="Arial"/>
          <w:sz w:val="24"/>
          <w:szCs w:val="24"/>
        </w:rPr>
        <w:t xml:space="preserve">, por meio de certificado digital conferido pela Infraestrutura de Chaves Públicas Brasileira – ICP - Brasil.</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responsabiliza-se exclusiva e formalmente pelas transações efetuadas em seu nome, assume como firmes e verdadeiras suas propostas e seus lances, inclusiv</w:t>
      </w:r>
      <w:r>
        <w:rPr>
          <w:rFonts w:ascii="Arial" w:hAnsi="Arial"/>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É de responsabilidade do cadastrado conferir a </w:t>
      </w:r>
      <w:r>
        <w:rPr>
          <w:rFonts w:ascii="Arial" w:hAnsi="Arial"/>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before="57" w:after="57" w:line="360" w:lineRule="auto"/>
        <w:rPr>
          <w:rFonts w:ascii="Arial" w:hAnsi="Arial"/>
          <w:sz w:val="24"/>
          <w:szCs w:val="24"/>
        </w:rPr>
      </w:pPr>
      <w:r>
        <w:rPr>
          <w:rFonts w:ascii="Arial" w:hAnsi="Arial"/>
          <w:sz w:val="24"/>
          <w:szCs w:val="24"/>
        </w:rPr>
        <w:t xml:space="preserve">A não observância do disposto no subitem anterior poderá ensejar desclassificação no momento da habilitação.</w:t>
      </w:r>
      <w:r/>
    </w:p>
    <w:p>
      <w:pPr>
        <w:ind w:right="49"/>
        <w:jc w:val="both"/>
        <w:spacing w:before="57" w:after="57" w:line="360" w:lineRule="auto"/>
        <w:rPr>
          <w:rFonts w:ascii="Arial" w:hAnsi="Arial"/>
          <w:sz w:val="24"/>
          <w:szCs w:val="24"/>
        </w:rPr>
      </w:pPr>
      <w:r>
        <w:rPr>
          <w:rFonts w:ascii="Arial" w:hAnsi="Arial"/>
          <w:sz w:val="24"/>
          <w:szCs w:val="24"/>
        </w:rPr>
      </w:r>
      <w:r/>
    </w:p>
    <w:p>
      <w:pPr>
        <w:pStyle w:val="924"/>
        <w:numPr>
          <w:ilvl w:val="0"/>
          <w:numId w:val="1"/>
        </w:numPr>
        <w:contextualSpacing w:val="0"/>
        <w:ind w:left="284" w:right="49" w:hanging="284"/>
        <w:jc w:val="both"/>
        <w:spacing w:before="57" w:after="57" w:line="360" w:lineRule="auto"/>
        <w:rPr>
          <w:rFonts w:ascii="Arial" w:hAnsi="Arial"/>
          <w:b/>
          <w:iCs/>
          <w:sz w:val="24"/>
          <w:szCs w:val="24"/>
        </w:rPr>
      </w:pPr>
      <w:r>
        <w:rPr>
          <w:rFonts w:ascii="Arial" w:hAnsi="Arial"/>
          <w:b/>
          <w:iCs/>
          <w:sz w:val="24"/>
          <w:szCs w:val="24"/>
        </w:rPr>
        <w:t xml:space="preserve">DA PARTICIPAÇÃO NO PREGÃO:</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Poderão participar deste Pregão interessados cujo ramo de atividade seja compatível com o objeto desta licitação, e que estejam com Credenciamento regular no</w:t>
      </w:r>
      <w:r>
        <w:rPr>
          <w:rFonts w:ascii="Arial" w:hAnsi="Arial"/>
          <w:sz w:val="24"/>
          <w:szCs w:val="24"/>
        </w:rPr>
        <w:t xml:space="preserve"> Sistema de Cadastramento Unificado de Fornecedores – SICAF, </w:t>
      </w:r>
      <w:r>
        <w:rPr>
          <w:rFonts w:ascii="Arial" w:hAnsi="Arial"/>
          <w:bCs/>
          <w:sz w:val="24"/>
          <w:szCs w:val="24"/>
        </w:rPr>
        <w:t xml:space="preserve">conforme disposto no art. 9º da IN SEGES/MP nº 3, de 2018.</w:t>
      </w:r>
      <w:r/>
    </w:p>
    <w:p>
      <w:pPr>
        <w:pStyle w:val="924"/>
        <w:numPr>
          <w:ilvl w:val="2"/>
          <w:numId w:val="1"/>
        </w:numPr>
        <w:contextualSpacing w:val="0"/>
        <w:ind w:left="1560" w:right="49" w:hanging="709"/>
        <w:jc w:val="both"/>
        <w:spacing w:before="57" w:after="57" w:line="360" w:lineRule="auto"/>
        <w:rPr>
          <w:rFonts w:ascii="Arial" w:hAnsi="Arial" w:eastAsia="Arial"/>
          <w:b/>
          <w:sz w:val="24"/>
          <w:szCs w:val="24"/>
        </w:rPr>
      </w:pPr>
      <w:r>
        <w:rPr>
          <w:rFonts w:ascii="Arial" w:hAnsi="Arial"/>
          <w:bCs/>
          <w:iCs/>
          <w:sz w:val="24"/>
          <w:szCs w:val="24"/>
        </w:rPr>
        <w:t xml:space="preserve">Os licitantes deverão utilizar o certificado digital para acesso ao sistema.</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iCs/>
          <w:sz w:val="24"/>
          <w:szCs w:val="24"/>
        </w:rPr>
        <w:t xml:space="preserve">Será concedido tratamento favorecido para as microempresas e empresas de pequeno porte, para as sociedades cooperativas mencionadas no artigo 34 da Lei nº 11.488, de 2007, para o agricu</w:t>
      </w:r>
      <w:r>
        <w:rPr>
          <w:rFonts w:ascii="Arial" w:hAnsi="Arial"/>
          <w:bCs/>
          <w:iCs/>
          <w:sz w:val="24"/>
          <w:szCs w:val="24"/>
        </w:rPr>
        <w:t xml:space="preserve">ltor familiar, o produtor rural pessoa física e para o microempreendedor individual - MEI, bem como o Empresário Individual e o EIRELI, nos limites previstos da Lei Complementar nº 123, de 2006, desde que se declarem no campo adequado do sistema de pregão </w:t>
      </w:r>
      <w:r>
        <w:rPr>
          <w:rFonts w:ascii="Arial" w:hAnsi="Arial"/>
          <w:bCs/>
          <w:iCs/>
          <w:sz w:val="24"/>
          <w:szCs w:val="24"/>
        </w:rPr>
        <w:t xml:space="preserve">eletrônico estarem enquadrados na condição de pequenos negócios previstos na Lei Complementar nº 123, de 2006.</w:t>
      </w:r>
      <w:r/>
    </w:p>
    <w:p>
      <w:pPr>
        <w:numPr>
          <w:ilvl w:val="1"/>
          <w:numId w:val="1"/>
        </w:numPr>
        <w:ind w:left="1418" w:right="49" w:hanging="1135"/>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Não poderão participar desta licitação os interessados: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Proibidos de participar de licitações e celebrar contratos administrativos, na forma da legislação vigente.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atendam às condições deste edital e seu(s) anexo(s).</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bCs/>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eastAsia="Arial Unicode MS"/>
          <w:sz w:val="24"/>
          <w:szCs w:val="24"/>
        </w:rPr>
        <w:t xml:space="preserve">Que se enquadrem nas vedações previstas no artigo 9º da lei nº 8.666, de 1993.</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Que estejam sob falência, concurso de credores, concordata ou em processo de dissolução ou liquidação.</w:t>
      </w:r>
      <w:r/>
    </w:p>
    <w:p>
      <w:pPr>
        <w:pStyle w:val="924"/>
        <w:numPr>
          <w:ilvl w:val="3"/>
          <w:numId w:val="1"/>
        </w:numPr>
        <w:contextualSpacing w:val="0"/>
        <w:ind w:left="2552" w:right="49" w:hanging="992"/>
        <w:jc w:val="both"/>
        <w:spacing w:before="57" w:after="57" w:line="360" w:lineRule="auto"/>
        <w:tabs>
          <w:tab w:val="left" w:pos="2552" w:leader="none"/>
        </w:tabs>
        <w:rPr>
          <w:rFonts w:ascii="Arial" w:hAnsi="Arial" w:eastAsia="Zurich BT"/>
          <w:bCs/>
          <w:sz w:val="24"/>
          <w:szCs w:val="24"/>
        </w:rPr>
      </w:pPr>
      <w:r>
        <w:rPr>
          <w:rFonts w:ascii="Arial" w:hAnsi="Arial" w:eastAsia="Zurich BT"/>
          <w:bCs/>
          <w:sz w:val="24"/>
          <w:szCs w:val="24"/>
        </w:rPr>
        <w:t xml:space="preserve">Não será causa de inabilitação do</w:t>
      </w:r>
      <w:r>
        <w:rPr>
          <w:rFonts w:ascii="Arial" w:hAnsi="Arial" w:eastAsia="Zurich BT"/>
          <w:bCs/>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Entidades empresariais que estejam reunidas em consórcio, visto que tal conduta não limitará a competitividade, pois o objeto do presente pr</w:t>
      </w:r>
      <w:r>
        <w:rPr>
          <w:rFonts w:ascii="Arial" w:hAnsi="Arial"/>
          <w:sz w:val="24"/>
          <w:szCs w:val="24"/>
        </w:rPr>
        <w:t xml:space="preserve">ocedimento licitatório se trata de atividade com ampla competitividade de mercado, existindo diversas empresas do ramo que conseguem fornecer o objeto pretendido pela Secretaria Solicitante deste certame, sem a necessidade de se constituírem em consórcios.</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Nos</w:t>
      </w:r>
      <w:r>
        <w:rPr>
          <w:rFonts w:ascii="Arial" w:hAnsi="Arial"/>
          <w:sz w:val="24"/>
          <w:szCs w:val="24"/>
          <w:shd w:val="clear" w:color="auto" w:fill="ffffff"/>
        </w:rPr>
        <w:t xml:space="preserve"> termos do art. 5º do Decreto nº 9.507, de 2018, é vedada a contratação de </w:t>
      </w:r>
      <w:r>
        <w:rPr>
          <w:rFonts w:ascii="Arial" w:hAnsi="Arial"/>
          <w:sz w:val="24"/>
          <w:szCs w:val="24"/>
        </w:rPr>
        <w:t xml:space="preserve">pessoa</w:t>
      </w:r>
      <w:r>
        <w:rPr>
          <w:rFonts w:ascii="Arial" w:hAnsi="Arial"/>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 autoridade hierarquicamente superior no âmbito do órgão contratante.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shd w:val="clear" w:color="auto" w:fill="ffffff"/>
        </w:rPr>
        <w:t xml:space="preserve">Para os fins do disposto neste item</w:t>
      </w:r>
      <w:r>
        <w:rPr>
          <w:rFonts w:ascii="Arial" w:hAnsi="Arial"/>
          <w:i/>
          <w:iCs/>
          <w:sz w:val="24"/>
          <w:szCs w:val="24"/>
          <w:shd w:val="clear" w:color="auto" w:fill="ffffff"/>
        </w:rPr>
        <w:t xml:space="preserve">,</w:t>
      </w:r>
      <w:r>
        <w:rPr>
          <w:rFonts w:ascii="Arial" w:hAnsi="Arial"/>
          <w:sz w:val="24"/>
          <w:szCs w:val="24"/>
          <w:shd w:val="clear" w:color="auto" w:fill="ffffff"/>
        </w:rPr>
        <w:t xml:space="preserve"> considera-se familiar o cônjuge, o companheir</w:t>
      </w:r>
      <w:r>
        <w:rPr>
          <w:rFonts w:ascii="Arial" w:hAnsi="Arial"/>
          <w:sz w:val="24"/>
          <w:szCs w:val="24"/>
          <w:shd w:val="clear" w:color="auto" w:fill="ffffff"/>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0"/>
        <w:jc w:val="both"/>
        <w:spacing w:before="57" w:after="57" w:line="360" w:lineRule="auto"/>
        <w:rPr>
          <w:rFonts w:ascii="Arial" w:hAnsi="Arial"/>
          <w:sz w:val="24"/>
          <w:szCs w:val="24"/>
        </w:rPr>
      </w:pPr>
      <w:r>
        <w:rPr>
          <w:rFonts w:ascii="Arial" w:hAnsi="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Como condição para participação no Pregão, a licitante assinalará “sim” ou “não” em campo próprio do sistema eletrônico, relativo às seguintes declarações:</w:t>
      </w:r>
      <w:r>
        <w:rPr>
          <w:rFonts w:ascii="Arial" w:hAnsi="Arial" w:eastAsia="Zurich BT"/>
          <w:bCs/>
          <w:sz w:val="24"/>
          <w:szCs w:val="24"/>
        </w:rPr>
        <w:t xml:space="preserve">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sz w:val="24"/>
          <w:szCs w:val="24"/>
        </w:rPr>
        <w:t xml:space="preserve">Que cumpre os requisitos estabelecidos no artigo 3° </w:t>
      </w:r>
      <w:r>
        <w:rPr>
          <w:rFonts w:ascii="Arial" w:hAnsi="Arial"/>
          <w:sz w:val="24"/>
          <w:szCs w:val="24"/>
        </w:rPr>
        <w:t xml:space="preserve">da Lei Complementar nº 123, de 2006, estando apta a usufruir do tratamento favorecido estabelecido em seus </w:t>
      </w:r>
      <w:r>
        <w:rPr>
          <w:rFonts w:ascii="Arial" w:hAnsi="Arial"/>
          <w:sz w:val="24"/>
          <w:szCs w:val="24"/>
        </w:rPr>
        <w:t xml:space="preserve">arts</w:t>
      </w:r>
      <w:r>
        <w:rPr>
          <w:rFonts w:ascii="Arial" w:hAnsi="Arial"/>
          <w:sz w:val="24"/>
          <w:szCs w:val="24"/>
        </w:rPr>
        <w:t xml:space="preserve">. 42 a 49; </w:t>
      </w:r>
      <w:r/>
    </w:p>
    <w:p>
      <w:pPr>
        <w:numPr>
          <w:ilvl w:val="3"/>
          <w:numId w:val="1"/>
        </w:numPr>
        <w:ind w:left="2552" w:right="49" w:hanging="992"/>
        <w:jc w:val="both"/>
        <w:spacing w:before="57" w:after="57" w:line="360" w:lineRule="auto"/>
        <w:tabs>
          <w:tab w:val="left" w:pos="2552" w:leader="none"/>
        </w:tabs>
        <w:rPr>
          <w:rFonts w:ascii="Arial" w:hAnsi="Arial"/>
          <w:bCs/>
          <w:sz w:val="24"/>
          <w:szCs w:val="24"/>
        </w:rPr>
      </w:pPr>
      <w:r>
        <w:rPr>
          <w:rFonts w:ascii="Arial" w:hAnsi="Arial"/>
          <w:bCs/>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a proposta foi elaborada de forma independente, nos termos da Instrução Normativa SLTI/MP nº 2, de 16 de setembro de 2009.</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os serviços são prestados por empresas que comprovem</w:t>
      </w:r>
      <w:r>
        <w:rPr>
          <w:rFonts w:ascii="Arial" w:hAnsi="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declaração falsa relativa ao cumprimento de qualquer condição sujeitará o licitante às sanções previstas em lei e neste Edital.</w:t>
      </w:r>
      <w:r/>
    </w:p>
    <w:p>
      <w:pPr>
        <w:ind w:right="49"/>
        <w:jc w:val="both"/>
        <w:spacing w:before="57" w:after="57" w:line="360" w:lineRule="auto"/>
        <w:tabs>
          <w:tab w:val="left" w:pos="851" w:leader="none"/>
        </w:tabs>
        <w:rPr>
          <w:rFonts w:ascii="Arial" w:hAnsi="Arial"/>
          <w:sz w:val="24"/>
          <w:szCs w:val="24"/>
        </w:rPr>
      </w:pPr>
      <w:r>
        <w:rPr>
          <w:rFonts w:ascii="Arial" w:hAnsi="Arial"/>
          <w:sz w:val="24"/>
          <w:szCs w:val="24"/>
        </w:rPr>
      </w:r>
      <w:r/>
    </w:p>
    <w:p>
      <w:pPr>
        <w:pStyle w:val="1099"/>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rPr>
        <w:t xml:space="preserve">DA APRESENTAÇÃO DA PROPOSTA E DOS DOCUMENTOS DE HABILITAÇÃO: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deverão encaminhar, exclusivamente por meio do sistema, concomitanteme</w:t>
      </w:r>
      <w:r>
        <w:rPr>
          <w:rFonts w:ascii="Arial" w:hAnsi="Arial"/>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Inc</w:t>
      </w:r>
      <w:r>
        <w:rPr>
          <w:rFonts w:ascii="Arial" w:hAnsi="Arial"/>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Até a abertura da sessão pública, os licitantes poderão retirar ou substituir a proposta e os documentos de habilitação anteriormente inseridos no sistema.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bCs/>
          <w:iCs/>
          <w:sz w:val="24"/>
          <w:szCs w:val="24"/>
        </w:rPr>
        <w:t xml:space="preserve"> Lei Complementar nº 123, de 2006.</w:t>
      </w:r>
      <w:r/>
    </w:p>
    <w:p>
      <w:pPr>
        <w:numPr>
          <w:ilvl w:val="1"/>
          <w:numId w:val="1"/>
        </w:numPr>
        <w:ind w:left="851" w:right="49" w:hanging="567"/>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ind w:right="49"/>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r>
      <w:r/>
    </w:p>
    <w:p>
      <w:pPr>
        <w:numPr>
          <w:ilvl w:val="0"/>
          <w:numId w:val="1"/>
        </w:numPr>
        <w:ind w:left="284" w:right="49" w:hanging="284"/>
        <w:jc w:val="both"/>
        <w:spacing w:before="57" w:after="57" w:line="360" w:lineRule="auto"/>
        <w:rPr>
          <w:rFonts w:ascii="Arial" w:hAnsi="Arial"/>
          <w:sz w:val="24"/>
          <w:szCs w:val="24"/>
        </w:rPr>
      </w:pPr>
      <w:r>
        <w:rPr>
          <w:rFonts w:ascii="Arial" w:hAnsi="Arial"/>
          <w:b/>
          <w:sz w:val="24"/>
          <w:szCs w:val="24"/>
        </w:rPr>
        <w:t xml:space="preserve">DO PREENCHIMENTO DA PROPOSTA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before="57" w:after="57" w:line="360" w:lineRule="auto"/>
        <w:tabs>
          <w:tab w:val="left" w:pos="1560" w:leader="none"/>
        </w:tabs>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 em moeda nacional (Real), </w:t>
      </w:r>
      <w:r>
        <w:rPr>
          <w:rFonts w:ascii="Arial" w:hAnsi="Arial"/>
          <w:b/>
          <w:bCs/>
          <w:iCs/>
          <w:sz w:val="24"/>
          <w:szCs w:val="24"/>
        </w:rPr>
        <w:t xml:space="preserve">com no máximo duas casas decimais.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iCs/>
          <w:sz w:val="24"/>
          <w:szCs w:val="24"/>
        </w:rPr>
        <w:t xml:space="preserve">Descrição detalhada do objeto, contendo as informações contidas de acordo com especificação do Termo de Referência, conforme Anexo I deste Edital</w:t>
      </w:r>
      <w:r>
        <w:rPr>
          <w:rFonts w:ascii="Arial" w:hAnsi="Arial"/>
          <w:bCs/>
          <w:sz w:val="24"/>
          <w:szCs w:val="24"/>
        </w:rPr>
        <w:t xml:space="preserve">.</w:t>
      </w:r>
      <w:r>
        <w:rPr>
          <w:rFonts w:ascii="Arial" w:hAnsi="Arial"/>
          <w:bCs/>
          <w:iCs/>
          <w:sz w:val="24"/>
          <w:szCs w:val="24"/>
        </w:rPr>
        <w:t xml:space="preserve"> </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Todas as especificações do objeto contidas na proposta vinculam a Contratada.</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b/>
          <w:sz w:val="24"/>
          <w:szCs w:val="24"/>
        </w:rPr>
      </w:pPr>
      <w:r>
        <w:rPr>
          <w:rFonts w:ascii="Arial" w:hAnsi="Arial"/>
          <w:b/>
          <w:sz w:val="24"/>
          <w:szCs w:val="24"/>
        </w:rPr>
        <w:t xml:space="preserve">O prazo de validade da proposta não será inferior a </w:t>
      </w:r>
      <w:r>
        <w:rPr>
          <w:rFonts w:ascii="Arial" w:hAnsi="Arial"/>
          <w:b/>
          <w:bCs/>
          <w:iCs/>
          <w:sz w:val="24"/>
          <w:szCs w:val="24"/>
        </w:rPr>
        <w:t xml:space="preserve">90 (noventa</w:t>
      </w:r>
      <w:r>
        <w:rPr>
          <w:rFonts w:ascii="Arial" w:hAnsi="Arial"/>
          <w:b/>
          <w:sz w:val="24"/>
          <w:szCs w:val="24"/>
        </w:rPr>
        <w:t xml:space="preserve">) </w:t>
      </w:r>
      <w:r>
        <w:rPr>
          <w:rFonts w:ascii="Arial" w:hAnsi="Arial"/>
          <w:b/>
          <w:bCs/>
          <w:iCs/>
          <w:sz w:val="24"/>
          <w:szCs w:val="24"/>
        </w:rPr>
        <w:t xml:space="preserve">dias</w:t>
      </w:r>
      <w:r>
        <w:rPr>
          <w:rFonts w:ascii="Arial" w:hAnsi="Arial"/>
          <w:b/>
          <w:sz w:val="24"/>
          <w:szCs w:val="24"/>
        </w:rPr>
        <w:t xml:space="preserve">, a contar da data de sua apresentação. </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iCs/>
          <w:sz w:val="24"/>
          <w:szCs w:val="24"/>
        </w:rPr>
        <w:t xml:space="preserve">Os licitantes </w:t>
      </w:r>
      <w:r>
        <w:rPr>
          <w:rFonts w:ascii="Arial" w:hAnsi="Arial"/>
          <w:sz w:val="24"/>
          <w:szCs w:val="24"/>
        </w:rPr>
        <w:t xml:space="preserve">devem respeitar os preços máximos estabelecidos nas normas de regência de contratações públicas federais, quando participarem de licitações públicas.</w:t>
      </w:r>
      <w:r/>
    </w:p>
    <w:p>
      <w:pPr>
        <w:pStyle w:val="924"/>
        <w:numPr>
          <w:ilvl w:val="2"/>
          <w:numId w:val="1"/>
        </w:numPr>
        <w:contextualSpacing w:val="0"/>
        <w:ind w:left="1560" w:right="49" w:hanging="709"/>
        <w:jc w:val="both"/>
        <w:spacing w:before="57" w:after="57" w:line="360" w:lineRule="auto"/>
        <w:rPr>
          <w:rFonts w:ascii="Arial" w:hAnsi="Arial"/>
          <w:sz w:val="24"/>
          <w:szCs w:val="24"/>
        </w:rPr>
      </w:pPr>
      <w:r>
        <w:rPr>
          <w:rFonts w:ascii="Arial" w:hAnsi="Arial"/>
          <w:sz w:val="24"/>
          <w:szCs w:val="24"/>
        </w:rPr>
        <w:t xml:space="preserve">O descumprimento das regras supramencion</w:t>
      </w:r>
      <w:r>
        <w:rPr>
          <w:rFonts w:ascii="Arial" w:hAnsi="Arial"/>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924"/>
        <w:contextualSpacing w:val="0"/>
        <w:ind w:left="0" w:right="49"/>
        <w:jc w:val="both"/>
        <w:spacing w:before="57" w:after="57" w:line="360" w:lineRule="auto"/>
        <w:rPr>
          <w:rFonts w:ascii="Arial" w:hAnsi="Arial"/>
          <w:sz w:val="24"/>
          <w:szCs w:val="24"/>
        </w:rPr>
      </w:pPr>
      <w:r>
        <w:rPr>
          <w:rFonts w:ascii="Arial" w:hAnsi="Arial"/>
          <w:sz w:val="24"/>
          <w:szCs w:val="24"/>
        </w:rPr>
      </w:r>
      <w:r/>
    </w:p>
    <w:p>
      <w:pPr>
        <w:pStyle w:val="1099"/>
        <w:numPr>
          <w:ilvl w:val="0"/>
          <w:numId w:val="1"/>
        </w:numPr>
        <w:ind w:left="284" w:right="49" w:hanging="284"/>
        <w:spacing w:before="57" w:after="57" w:line="360" w:lineRule="auto"/>
        <w:tabs>
          <w:tab w:val="clear" w:pos="567" w:leader="none"/>
        </w:tabs>
        <w:rPr>
          <w:rFonts w:ascii="Arial" w:hAnsi="Arial"/>
          <w:sz w:val="24"/>
          <w:szCs w:val="24"/>
        </w:rPr>
      </w:pPr>
      <w:r>
        <w:rPr>
          <w:rFonts w:ascii="Arial" w:hAnsi="Arial"/>
          <w:sz w:val="24"/>
          <w:szCs w:val="24"/>
        </w:rPr>
        <w:t xml:space="preserve">DA ABERTURA DA SESSÃO, CLASSIFICAÇÃO DAS PROPOSTAS E FORMULAÇÃO DE LANCES </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abertura da presente licitação dar-se-á em sessão pública, por meio de sistema eletrônico, na data, horário e local indicados neste Edital.</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p</w:t>
      </w:r>
      <w:r>
        <w:rPr>
          <w:rFonts w:ascii="Arial" w:hAnsi="Arial"/>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Também será desclassificada a proposta cadastrada no sistema que identifique o licitante.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before="57" w:after="57" w:line="360" w:lineRule="auto"/>
        <w:tabs>
          <w:tab w:val="left" w:pos="1560" w:leader="none"/>
          <w:tab w:val="left" w:pos="1701" w:leader="none"/>
        </w:tabs>
        <w:rPr>
          <w:rFonts w:ascii="Arial" w:hAnsi="Arial"/>
          <w:sz w:val="24"/>
          <w:szCs w:val="24"/>
        </w:rPr>
      </w:pPr>
      <w:r>
        <w:rPr>
          <w:rFonts w:ascii="Arial" w:hAnsi="Arial"/>
          <w:sz w:val="24"/>
          <w:szCs w:val="24"/>
        </w:rPr>
        <w:t xml:space="preserve">A não desclassificação da proposta não impede o seu julgamento definitivo em sentido contrário, levado a efeito na fase de aceitação.</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ordenará automaticamente as propostas classificadas, sendo que somente estas participarão da fase de lances.</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disponibilizará campo próprio para troca de mensagens entre o pregoeiro e os licitantes.</w:t>
      </w:r>
      <w:r/>
    </w:p>
    <w:p>
      <w:pPr>
        <w:pStyle w:val="924"/>
        <w:numPr>
          <w:ilvl w:val="2"/>
          <w:numId w:val="1"/>
        </w:numPr>
        <w:contextualSpacing w:val="0"/>
        <w:ind w:left="1560" w:right="49" w:hanging="709"/>
        <w:jc w:val="both"/>
        <w:spacing w:before="57" w:after="57" w:line="360" w:lineRule="auto"/>
        <w:tabs>
          <w:tab w:val="left" w:pos="1560" w:leader="none"/>
        </w:tabs>
        <w:rPr>
          <w:rFonts w:ascii="Arial" w:hAnsi="Arial"/>
          <w:b/>
          <w:sz w:val="24"/>
          <w:szCs w:val="24"/>
        </w:rPr>
      </w:pPr>
      <w:r>
        <w:rPr>
          <w:rFonts w:ascii="Arial" w:hAnsi="Arial"/>
          <w:b/>
          <w:sz w:val="24"/>
          <w:szCs w:val="24"/>
        </w:rPr>
        <w:t xml:space="preserve">Quando demandado pelo chat, o licitante terá o prazo de 10 (dez) minutos para responder as solicitações realizadas pelo Pregoeiro.</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924"/>
        <w:numPr>
          <w:ilvl w:val="2"/>
          <w:numId w:val="1"/>
        </w:numPr>
        <w:contextualSpacing w:val="0"/>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 lance deverá ser ofertado pelo valor total do item.</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oferecer lances sucessivos, observando o horário fixado para abertura da sessão e as regras estabelecidas no Edital.</w:t>
      </w:r>
      <w:r/>
    </w:p>
    <w:p>
      <w:pPr>
        <w:pStyle w:val="924"/>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somente poderá oferecer lance inferior ao último por ele ofertado e registrado pelo sistema.</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 xml:space="preserve">“aberto e fechado”</w:t>
      </w:r>
      <w:r>
        <w:rPr>
          <w:rFonts w:ascii="Arial" w:hAnsi="Arial"/>
          <w:iCs/>
          <w:sz w:val="24"/>
          <w:szCs w:val="24"/>
        </w:rPr>
        <w:t xml:space="preserve">, em que os licitantes apresentarão lances públicos e sucessivos, com lance final e fechado. </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A etapa de lances da sessão pública terá duração inicial</w:t>
      </w:r>
      <w:r>
        <w:rPr>
          <w:rFonts w:ascii="Arial" w:hAnsi="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709"/>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Encerrado o prazo previsto no item anterio</w:t>
      </w:r>
      <w:r>
        <w:rPr>
          <w:rFonts w:ascii="Arial" w:hAnsi="Arial"/>
          <w:iCs/>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pStyle w:val="924"/>
        <w:numPr>
          <w:ilvl w:val="2"/>
          <w:numId w:val="1"/>
        </w:numPr>
        <w:contextualSpacing w:val="0"/>
        <w:ind w:left="1701" w:right="49" w:hanging="850"/>
        <w:jc w:val="both"/>
        <w:spacing w:before="57" w:after="57" w:line="360" w:lineRule="auto"/>
        <w:tabs>
          <w:tab w:val="left" w:pos="1701" w:leader="none"/>
        </w:tabs>
        <w:rPr>
          <w:rFonts w:ascii="Arial" w:hAnsi="Arial"/>
          <w:iCs/>
          <w:sz w:val="24"/>
          <w:szCs w:val="24"/>
        </w:rPr>
      </w:pPr>
      <w:r>
        <w:rPr>
          <w:rFonts w:ascii="Arial" w:hAnsi="Arial"/>
          <w:iCs/>
          <w:sz w:val="24"/>
          <w:szCs w:val="24"/>
        </w:rPr>
        <w:t xml:space="preserve">Não havendo pelo menos trê</w:t>
      </w:r>
      <w:r>
        <w:rPr>
          <w:rFonts w:ascii="Arial" w:hAnsi="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993" w:right="49" w:hanging="709"/>
        <w:jc w:val="both"/>
        <w:spacing w:before="57" w:after="57" w:line="360" w:lineRule="auto"/>
        <w:tabs>
          <w:tab w:val="left" w:pos="993" w:leader="none"/>
        </w:tabs>
        <w:rPr>
          <w:rFonts w:ascii="Arial" w:hAnsi="Arial"/>
          <w:iCs/>
          <w:sz w:val="24"/>
          <w:szCs w:val="24"/>
        </w:rPr>
      </w:pPr>
      <w:r>
        <w:rPr>
          <w:rFonts w:ascii="Arial" w:hAnsi="Arial"/>
          <w:iCs/>
          <w:sz w:val="24"/>
          <w:szCs w:val="24"/>
        </w:rPr>
        <w:t xml:space="preserve">Após o término dos prazos estabelecidos nos itens anteriores, o sistema ordenará os lances dez por cento superior àquela colocada em primeiro lugar.</w:t>
      </w:r>
      <w:r/>
    </w:p>
    <w:p>
      <w:pPr>
        <w:numPr>
          <w:ilvl w:val="2"/>
          <w:numId w:val="1"/>
        </w:numPr>
        <w:ind w:left="1843" w:right="49" w:hanging="850"/>
        <w:jc w:val="both"/>
        <w:spacing w:before="57" w:after="57" w:line="360" w:lineRule="auto"/>
        <w:rPr>
          <w:rFonts w:ascii="Arial" w:hAnsi="Arial"/>
          <w:iCs/>
          <w:sz w:val="24"/>
          <w:szCs w:val="24"/>
        </w:rPr>
      </w:pPr>
      <w:r>
        <w:rPr>
          <w:rFonts w:ascii="Arial" w:hAnsi="Arial"/>
          <w:iCs/>
          <w:sz w:val="24"/>
          <w:szCs w:val="24"/>
        </w:rPr>
        <w:t xml:space="preserve">Não havendo lance final e fechado classificado na forma estabelec</w:t>
      </w:r>
      <w:r>
        <w:rPr>
          <w:rFonts w:ascii="Arial" w:hAnsi="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993" w:right="49" w:hanging="709"/>
        <w:jc w:val="both"/>
        <w:spacing w:before="57" w:after="57" w:line="360" w:lineRule="auto"/>
        <w:rPr>
          <w:rFonts w:ascii="Arial" w:hAnsi="Arial"/>
          <w:iCs/>
          <w:sz w:val="24"/>
          <w:szCs w:val="24"/>
        </w:rPr>
      </w:pPr>
      <w:r>
        <w:rPr>
          <w:rFonts w:ascii="Arial" w:hAnsi="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O </w:t>
      </w:r>
      <w:r>
        <w:rPr>
          <w:rFonts w:ascii="Arial" w:hAnsi="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pStyle w:val="924"/>
        <w:numPr>
          <w:ilvl w:val="2"/>
          <w:numId w:val="1"/>
        </w:numPr>
        <w:contextualSpacing w:val="0"/>
        <w:ind w:left="1843" w:right="49" w:hanging="850"/>
        <w:jc w:val="both"/>
        <w:spacing w:before="57" w:after="57" w:line="360" w:lineRule="auto"/>
        <w:tabs>
          <w:tab w:val="left" w:pos="1560" w:leader="none"/>
        </w:tabs>
        <w:rPr>
          <w:rFonts w:ascii="Arial" w:hAnsi="Arial"/>
          <w:sz w:val="24"/>
          <w:szCs w:val="24"/>
        </w:rPr>
      </w:pPr>
      <w:r>
        <w:rPr>
          <w:rFonts w:ascii="Arial" w:hAnsi="Arial"/>
          <w:sz w:val="24"/>
          <w:szCs w:val="24"/>
        </w:rPr>
        <w:t xml:space="preserve">Na hipótese do subitem anterior, a ocorrência será registrada em campo próprio do sistema.</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 xml:space="preserve">vedada</w:t>
      </w:r>
      <w:r>
        <w:rPr>
          <w:rFonts w:ascii="Arial" w:hAnsi="Arial"/>
          <w:sz w:val="24"/>
          <w:szCs w:val="24"/>
        </w:rPr>
        <w:t xml:space="preserve"> a identificação do licitante. </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desconexão com o pregoeiro, no decorrer da etapa competitiva do Pregão, o sistema eletrônico poderá permanecer acessível aos licitantes para a recepção dos lances. </w:t>
      </w:r>
      <w:r/>
    </w:p>
    <w:p>
      <w:pPr>
        <w:pStyle w:val="924"/>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Quando a desconexão do sistema eletrôni</w:t>
      </w:r>
      <w:r>
        <w:rPr>
          <w:rFonts w:ascii="Arial" w:hAnsi="Arial"/>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924"/>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O Critério de julgamento adotado será o de </w:t>
      </w:r>
      <w:r>
        <w:rPr>
          <w:rFonts w:ascii="Arial" w:hAnsi="Arial"/>
          <w:b/>
          <w:sz w:val="24"/>
          <w:szCs w:val="24"/>
        </w:rPr>
        <w:t xml:space="preserve">menor preço por lote</w:t>
      </w:r>
      <w:r>
        <w:rPr>
          <w:rFonts w:ascii="Arial" w:hAnsi="Arial"/>
          <w:sz w:val="24"/>
          <w:szCs w:val="24"/>
        </w:rPr>
        <w:t xml:space="preserve">, conforme definido neste Edital e seus anexos. </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relação a itens não exclusivos para participação de microempresas e empresas de pequeno porte, uma vez encerrada a etapa de lances, será </w:t>
      </w:r>
      <w:r>
        <w:rPr>
          <w:rFonts w:ascii="Arial" w:hAnsi="Arial"/>
          <w:sz w:val="24"/>
          <w:szCs w:val="24"/>
        </w:rPr>
        <w:t xml:space="preserve">efetivada a verificação automática, junto à Receita Federal, do porte da entidade empresarial. O sistema identific</w:t>
      </w:r>
      <w:r>
        <w:rPr>
          <w:rFonts w:ascii="Arial" w:hAnsi="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sz w:val="24"/>
          <w:szCs w:val="24"/>
        </w:rPr>
        <w:t xml:space="preserve">arts</w:t>
      </w:r>
      <w:r>
        <w:rPr>
          <w:rFonts w:ascii="Arial" w:hAnsi="Arial"/>
          <w:sz w:val="24"/>
          <w:szCs w:val="24"/>
        </w:rPr>
        <w:t xml:space="preserve">. 44 e 45 da LC nº 123, de 2006, regulamentada pelo Decreto nº 8.538, de 2015 e Lei Complementar Municipal n 267, de 25/11/2019.</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melhor classificada n</w:t>
      </w:r>
      <w:r>
        <w:rPr>
          <w:rFonts w:ascii="Arial" w:hAnsi="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a microempresa ou a empresa de pequeno porte melhor classificada desista ou não se manifeste no prazo </w:t>
      </w:r>
      <w:r>
        <w:rPr>
          <w:rFonts w:ascii="Arial" w:hAnsi="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equivalênci</w:t>
      </w:r>
      <w:r>
        <w:rPr>
          <w:rFonts w:ascii="Arial" w:hAnsi="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924"/>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brasileiras. </w:t>
      </w:r>
      <w:r/>
    </w:p>
    <w:p>
      <w:pPr>
        <w:pStyle w:val="924"/>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invistam em pesquisa e no desenvolvimento de tecnologia no país.</w:t>
      </w:r>
      <w:r/>
    </w:p>
    <w:p>
      <w:pPr>
        <w:pStyle w:val="924"/>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Persistindo o empate entre propostas ou lances, será aplicado o sorteio como critério de desempate. </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Apurada a proposta final classifica</w:t>
      </w:r>
      <w:r>
        <w:rPr>
          <w:rFonts w:ascii="Arial" w:hAnsi="Arial"/>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negociação será realizada por meio do sistema, podendo ser acompanhada pelos demais licitantes.</w:t>
      </w:r>
      <w:r/>
    </w:p>
    <w:p>
      <w:pPr>
        <w:pStyle w:val="924"/>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O pregoeiro solicitará ao licitante melhor classificado que, no prazo de 02 (duas)</w:t>
      </w:r>
      <w:r>
        <w:rPr>
          <w:rFonts w:ascii="Arial" w:hAnsi="Arial"/>
          <w:i/>
          <w:iCs/>
          <w:sz w:val="24"/>
          <w:szCs w:val="24"/>
        </w:rPr>
        <w:t xml:space="preserve"> </w:t>
      </w:r>
      <w:r>
        <w:rPr>
          <w:rFonts w:ascii="Arial" w:hAnsi="Arial"/>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r/>
    </w:p>
    <w:p>
      <w:pPr>
        <w:pStyle w:val="924"/>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Também nas hipóteses em que o Pregoeiro não aceitar a proposta e passar à subsequente, poderá negociar com o licitante para que seja obtido preço melhor.</w:t>
      </w:r>
      <w:r/>
    </w:p>
    <w:p>
      <w:pPr>
        <w:pStyle w:val="924"/>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Após a negociação do preço, o pregoeiro iniciará a fase de aceitação e julgamento da proposta.</w:t>
      </w:r>
      <w:r/>
    </w:p>
    <w:p>
      <w:pPr>
        <w:pStyle w:val="924"/>
        <w:contextualSpacing w:val="0"/>
        <w:ind w:left="0" w:right="49"/>
        <w:jc w:val="both"/>
        <w:spacing w:before="57" w:after="57" w:line="360" w:lineRule="auto"/>
        <w:rPr>
          <w:rFonts w:ascii="Arial" w:hAnsi="Arial"/>
          <w:sz w:val="24"/>
          <w:szCs w:val="24"/>
        </w:rPr>
      </w:pPr>
      <w:r>
        <w:rPr>
          <w:rFonts w:ascii="Arial" w:hAnsi="Arial"/>
          <w:sz w:val="24"/>
          <w:szCs w:val="24"/>
        </w:rPr>
      </w:r>
      <w:r/>
    </w:p>
    <w:p>
      <w:pPr>
        <w:pStyle w:val="1096"/>
        <w:numPr>
          <w:ilvl w:val="0"/>
          <w:numId w:val="1"/>
        </w:numPr>
        <w:ind w:left="284" w:right="49" w:hanging="284"/>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AMOSTRAS</w:t>
      </w:r>
      <w:r/>
    </w:p>
    <w:p>
      <w:pPr>
        <w:pStyle w:val="1096"/>
        <w:numPr>
          <w:ilvl w:val="1"/>
          <w:numId w:val="1"/>
        </w:numPr>
        <w:ind w:left="851" w:right="49" w:hanging="567"/>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 Não serão exigidas amostras.</w:t>
      </w:r>
      <w:r/>
    </w:p>
    <w:p>
      <w:pPr>
        <w:pStyle w:val="1096"/>
        <w:ind w:left="284" w:right="49"/>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sz w:val="24"/>
          <w:szCs w:val="24"/>
        </w:rPr>
      </w:r>
      <w:r/>
    </w:p>
    <w:p>
      <w:pPr>
        <w:pStyle w:val="1099"/>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lang w:eastAsia="en-US"/>
        </w:rPr>
        <w:t xml:space="preserve">DA ACEITABILIDADE DA PROPOSTA VENCEDORA.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etapa de negociação, o pregoeiro examinará a proposta classificada </w:t>
      </w:r>
      <w:r>
        <w:rPr>
          <w:rFonts w:ascii="Arial" w:hAnsi="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Será desclassificada a proposta ou o lance vencedor com valor superior ao preço máximo fixado ou que apresentar preço manifestamente inexequível.</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sz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cs="Arial"/>
          <w:sz w:val="24"/>
          <w:szCs w:val="24"/>
        </w:rPr>
        <w:t xml:space="preserve">O Pregoeiro encaminhará,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560" w:hanging="708"/>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 não aceitar a proposta e passar à subsequente, negociará com o licitante para que seja obtido preço melhor.</w:t>
      </w:r>
      <w:r/>
    </w:p>
    <w:p>
      <w:pPr>
        <w:numPr>
          <w:ilvl w:val="2"/>
          <w:numId w:val="1"/>
        </w:numPr>
        <w:ind w:left="1560" w:hanging="708"/>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Qualquer interessado poderá requerer que se realizem diligências para aferir a exequibilidade e a legalidade das propostas, devendo apresentar as provas ou os indícios que fundamentam a suspeita.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Na hipótese de necessidade de suspensão da sessão pública para a realização de diligências, com vistas ao saneamento das propostas, a sessão pública somente poderá ser reiniciada mediante aviso prévio no sistema com, </w:t>
      </w:r>
      <w:r>
        <w:rPr>
          <w:rFonts w:ascii="Arial" w:hAnsi="Arial"/>
          <w:sz w:val="24"/>
        </w:rPr>
        <w:t xml:space="preserve">no mínimo, 24 (vinte e quatro) horas de antecedência, e a ocorrência será registrada em ata.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É facultado ao pregoeiro prorrogar o prazo estabelecido, a partir de solicitação fundamentada feita no chat pelo licitante, antes de findo o prazo. </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Nos itens não exclusivos para a participação de microempresas e empresas de pequeno porte, sempre que a proposta não for aceita, e</w:t>
      </w:r>
      <w:r>
        <w:rPr>
          <w:rFonts w:ascii="Arial" w:hAnsi="Arial"/>
          <w:sz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análise quanto à aceitação da proposta, o pregoeiro verificará a habilitação do licitante, observado o disposto neste Edital. </w:t>
      </w:r>
      <w:r/>
    </w:p>
    <w:p>
      <w:pPr>
        <w:jc w:val="both"/>
        <w:spacing w:before="57" w:after="57" w:line="360" w:lineRule="auto"/>
        <w:tabs>
          <w:tab w:val="left" w:pos="851" w:leader="none"/>
        </w:tabs>
        <w:rPr>
          <w:rFonts w:ascii="Arial" w:hAnsi="Arial"/>
          <w:sz w:val="24"/>
        </w:rPr>
      </w:pPr>
      <w:r>
        <w:rPr>
          <w:rFonts w:ascii="Arial" w:hAnsi="Arial"/>
          <w:sz w:val="24"/>
        </w:rPr>
      </w:r>
      <w:r/>
    </w:p>
    <w:p>
      <w:pPr>
        <w:pStyle w:val="1096"/>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HABILITAÇÃO:</w:t>
      </w:r>
      <w:r/>
    </w:p>
    <w:p>
      <w:pPr>
        <w:pStyle w:val="924"/>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lang w:eastAsia="ar-SA"/>
        </w:rPr>
        <w:t xml:space="preserve">Como condição prévia ao exame da documentação de habilitação</w:t>
      </w:r>
      <w:r>
        <w:rPr>
          <w:rFonts w:ascii="Arial" w:hAnsi="Arial"/>
          <w:sz w:val="24"/>
          <w:szCs w:val="24"/>
        </w:rPr>
        <w:t xml:space="preserve"> do licitante detentor da proposta classificada em primeiro lugar</w:t>
      </w:r>
      <w:r>
        <w:rPr>
          <w:rFonts w:ascii="Arial" w:hAnsi="Arial"/>
          <w:sz w:val="24"/>
          <w:szCs w:val="24"/>
          <w:lang w:eastAsia="ar-SA"/>
        </w:rPr>
        <w:t xml:space="preserve">, o pregoeiro</w:t>
      </w:r>
      <w:r>
        <w:rPr>
          <w:rFonts w:ascii="Arial" w:hAnsi="Arial"/>
          <w:sz w:val="24"/>
          <w:szCs w:val="24"/>
        </w:rPr>
        <w:t xml:space="preserve"> </w:t>
      </w:r>
      <w:r>
        <w:rPr>
          <w:rFonts w:ascii="Arial" w:hAnsi="Arial"/>
          <w:sz w:val="24"/>
          <w:szCs w:val="24"/>
          <w:lang w:eastAsia="ar-SA"/>
        </w:rPr>
        <w:t xml:space="preserve">verificará o eventual descumprimento das condições de participação, especialmente quanto à</w:t>
      </w:r>
      <w:r>
        <w:rPr>
          <w:rFonts w:ascii="Arial" w:hAnsi="Arial"/>
          <w:sz w:val="24"/>
          <w:szCs w:val="24"/>
        </w:rPr>
        <w:t xml:space="preserve"> existência de sanção que impeça a participação </w:t>
      </w:r>
      <w:r>
        <w:rPr>
          <w:rFonts w:ascii="Arial" w:hAnsi="Arial"/>
          <w:sz w:val="24"/>
          <w:szCs w:val="24"/>
        </w:rPr>
        <w:t xml:space="preserve">no certame ou a futura contratação, mediante a consulta aos seguintes cadastros:</w:t>
      </w:r>
      <w:r/>
    </w:p>
    <w:p>
      <w:pPr>
        <w:pStyle w:val="924"/>
        <w:numPr>
          <w:ilvl w:val="2"/>
          <w:numId w:val="1"/>
        </w:numPr>
        <w:contextualSpacing w:val="0"/>
        <w:ind w:left="1843" w:right="51" w:hanging="708"/>
        <w:jc w:val="both"/>
        <w:spacing w:before="57" w:after="57" w:line="360" w:lineRule="auto"/>
        <w:tabs>
          <w:tab w:val="left" w:pos="1985" w:leader="none"/>
        </w:tabs>
        <w:rPr>
          <w:rFonts w:ascii="Arial" w:hAnsi="Arial"/>
          <w:sz w:val="24"/>
          <w:szCs w:val="24"/>
        </w:rPr>
      </w:pPr>
      <w:r>
        <w:rPr>
          <w:rFonts w:ascii="Arial" w:hAnsi="Arial"/>
          <w:sz w:val="24"/>
          <w:szCs w:val="24"/>
        </w:rPr>
        <w:t xml:space="preserve">SICAF – Sistema de Cadastro Unificado de Fornecedores.</w:t>
      </w:r>
      <w:r/>
    </w:p>
    <w:p>
      <w:pPr>
        <w:pStyle w:val="924"/>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Cadastro Nacional de Empresas Inidôneas e Suspensas – CEIS, mantido pela Controladoria-Geral da União (</w:t>
      </w:r>
      <w:hyperlink r:id="rId16" w:tooltip="http://www.portaldatransparencia.gov.br/ceis" w:history="1">
        <w:r>
          <w:rPr>
            <w:rFonts w:ascii="Arial" w:hAnsi="Arial"/>
            <w:sz w:val="24"/>
            <w:szCs w:val="24"/>
            <w:u w:val="single"/>
          </w:rPr>
          <w:t xml:space="preserve">www.portaldatransparencia.gov.br/ceis</w:t>
        </w:r>
      </w:hyperlink>
      <w:r>
        <w:rPr>
          <w:rFonts w:ascii="Arial" w:hAnsi="Arial"/>
          <w:sz w:val="24"/>
          <w:szCs w:val="24"/>
        </w:rPr>
        <w:t xml:space="preserve">).</w:t>
      </w:r>
      <w:r/>
    </w:p>
    <w:p>
      <w:pPr>
        <w:pStyle w:val="924"/>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Cadastro Nacional de Condenações Cíveis por Atos de Improbidade Administrativa e Inelegibilidade mantido pelo Conselho Nacional de Justiça</w:t>
      </w:r>
      <w:r>
        <w:rPr>
          <w:rFonts w:ascii="Arial" w:hAnsi="Arial"/>
          <w:sz w:val="24"/>
          <w:szCs w:val="24"/>
        </w:rPr>
        <w:t xml:space="preserve"> (</w:t>
      </w:r>
      <w:hyperlink r:id="rId17" w:tooltip="http://www.cnj.jus.br/improbidade_adm/consultar_requerido.php" w:history="1">
        <w:r>
          <w:rPr>
            <w:rFonts w:ascii="Arial" w:hAnsi="Arial"/>
            <w:sz w:val="24"/>
            <w:szCs w:val="24"/>
            <w:u w:val="single"/>
          </w:rPr>
          <w:t xml:space="preserve">www.</w:t>
        </w:r>
        <w:r>
          <w:rPr>
            <w:rFonts w:ascii="Arial" w:hAnsi="Arial"/>
            <w:bCs/>
            <w:sz w:val="24"/>
            <w:szCs w:val="24"/>
            <w:u w:val="single"/>
          </w:rPr>
          <w:t xml:space="preserve">cnj</w:t>
        </w:r>
        <w:r>
          <w:rPr>
            <w:rFonts w:ascii="Arial" w:hAnsi="Arial"/>
            <w:sz w:val="24"/>
            <w:szCs w:val="24"/>
            <w:u w:val="single"/>
          </w:rPr>
          <w:t xml:space="preserve">.jus.br/</w:t>
        </w:r>
        <w:r>
          <w:rPr>
            <w:rFonts w:ascii="Arial" w:hAnsi="Arial"/>
            <w:bCs/>
            <w:sz w:val="24"/>
            <w:szCs w:val="24"/>
            <w:u w:val="single"/>
          </w:rPr>
          <w:t xml:space="preserve">improbidade</w:t>
        </w:r>
        <w:r>
          <w:rPr>
            <w:rFonts w:ascii="Arial" w:hAnsi="Arial"/>
            <w:sz w:val="24"/>
            <w:szCs w:val="24"/>
            <w:u w:val="single"/>
          </w:rPr>
          <w:t xml:space="preserve">_adm/consultar_requerido.php</w:t>
        </w:r>
      </w:hyperlink>
      <w:r>
        <w:rPr>
          <w:rFonts w:ascii="Arial" w:hAnsi="Arial"/>
          <w:sz w:val="24"/>
          <w:szCs w:val="24"/>
        </w:rPr>
        <w:t xml:space="preserve">).</w:t>
      </w:r>
      <w:r/>
    </w:p>
    <w:p>
      <w:pPr>
        <w:pStyle w:val="924"/>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Lista de Inidôneos e o Cadastro Integrado de Condenações por Ilícitos Administrativos - CADICON, mantidos pelo Tribunal de Contas da União – TCU.</w:t>
      </w:r>
      <w:r/>
    </w:p>
    <w:p>
      <w:pPr>
        <w:pStyle w:val="924"/>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A consulta aos cadastros será realizada em nome da empresa licitante, por força do artig</w:t>
      </w:r>
      <w:r>
        <w:rPr>
          <w:rFonts w:ascii="Arial" w:hAnsi="Arial"/>
          <w:bCs/>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924"/>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924"/>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A tentativa de burla será verificada por meio dos vínculos societários, linhas de fornecimento similares, dentre outros.</w:t>
      </w:r>
      <w:r/>
    </w:p>
    <w:p>
      <w:pPr>
        <w:pStyle w:val="924"/>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O licitante será convocado para manifestação previamente à sua desclassificação.</w:t>
      </w:r>
      <w:r/>
    </w:p>
    <w:p>
      <w:pPr>
        <w:pStyle w:val="924"/>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sz w:val="24"/>
          <w:szCs w:val="24"/>
        </w:rPr>
        <w:t xml:space="preserve">Para a consulta de licitantes pessoa jurídica poderá haver a substituição das consultas das alíneas 10.1.2, 10.1.3 e 10.1.4 acima pela Consulta Consolidada de Pessoa Jurídica do TCU </w:t>
      </w:r>
      <w:hyperlink r:id="rId18" w:tooltip="https://certidoes-apf.apps.tcu.gov.br/" w:history="1">
        <w:r>
          <w:rPr>
            <w:rStyle w:val="1095"/>
            <w:rFonts w:ascii="Arial" w:hAnsi="Arial"/>
            <w:color w:val="000000"/>
            <w:sz w:val="24"/>
            <w:szCs w:val="24"/>
          </w:rPr>
          <w:t xml:space="preserve">https://certidoes-apf.apps.tcu.gov.br/</w:t>
        </w:r>
      </w:hyperlink>
      <w:r/>
      <w:r/>
    </w:p>
    <w:p>
      <w:pPr>
        <w:pStyle w:val="924"/>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Constatada a existência de sanção, o pregoeiro reputará o licitante inabilitado, por falta de condição de participação.</w:t>
      </w:r>
      <w:r/>
    </w:p>
    <w:p>
      <w:pPr>
        <w:pStyle w:val="924"/>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No caso de inabilitação, haverá nova verificação, pelo sistema, da eventual ocorrência do empate ficto, previsto nos </w:t>
      </w:r>
      <w:r>
        <w:rPr>
          <w:rFonts w:ascii="Arial" w:hAnsi="Arial"/>
          <w:bCs/>
          <w:sz w:val="24"/>
          <w:szCs w:val="24"/>
        </w:rPr>
        <w:t xml:space="preserve">arts</w:t>
      </w:r>
      <w:r>
        <w:rPr>
          <w:rFonts w:ascii="Arial" w:hAnsi="Arial"/>
          <w:bCs/>
          <w:sz w:val="24"/>
          <w:szCs w:val="24"/>
        </w:rPr>
        <w:t xml:space="preserve">. 44 e 45 da Lei Complementar nº 123, de 2006, seguindo-se a disciplina antes estabelecida para aceitação da proposta subsequente.</w:t>
      </w:r>
      <w:r/>
    </w:p>
    <w:p>
      <w:pPr>
        <w:pStyle w:val="924"/>
        <w:numPr>
          <w:ilvl w:val="1"/>
          <w:numId w:val="1"/>
        </w:numPr>
        <w:contextualSpacing w:val="0"/>
        <w:ind w:left="1134" w:right="51" w:hanging="708"/>
        <w:jc w:val="both"/>
        <w:spacing w:before="57" w:after="57" w:line="360" w:lineRule="auto"/>
        <w:tabs>
          <w:tab w:val="left" w:pos="1134" w:leader="none"/>
        </w:tabs>
        <w:rPr>
          <w:rFonts w:ascii="Arial" w:hAnsi="Arial"/>
          <w:bCs/>
          <w:sz w:val="24"/>
          <w:szCs w:val="24"/>
        </w:rPr>
      </w:pPr>
      <w:r>
        <w:rPr>
          <w:rFonts w:ascii="Arial" w:hAnsi="Arial"/>
          <w:sz w:val="24"/>
          <w:szCs w:val="24"/>
          <w:lang w:eastAsia="ar-SA"/>
        </w:rPr>
        <w:t xml:space="preserve">Não ocorrendo inabilitação, o pregoeiro consultará o Sistema de Cadastro Unificado de Fornecedores – SICAF, em relação à habilitação jurídica, à regularidade fiscal, à qualificação econômica financeira e habilitação técnica, conforme o disposto nos </w:t>
      </w:r>
      <w:r>
        <w:rPr>
          <w:rFonts w:ascii="Arial" w:hAnsi="Arial"/>
          <w:sz w:val="24"/>
          <w:szCs w:val="24"/>
          <w:lang w:eastAsia="ar-SA"/>
        </w:rPr>
        <w:t xml:space="preserve">arts</w:t>
      </w:r>
      <w:r>
        <w:rPr>
          <w:rFonts w:ascii="Arial" w:hAnsi="Arial"/>
          <w:sz w:val="24"/>
          <w:szCs w:val="24"/>
          <w:lang w:eastAsia="ar-SA"/>
        </w:rPr>
        <w:t xml:space="preserve"> 10, 11, 12, 13, 14, 15 e 16 da Instrução Normativa SEGES/MP nº 03, de 2018.</w:t>
      </w:r>
      <w:r/>
    </w:p>
    <w:p>
      <w:pPr>
        <w:pStyle w:val="924"/>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interessado, par</w:t>
      </w:r>
      <w:r>
        <w:rPr>
          <w:rFonts w:ascii="Arial" w:hAnsi="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924"/>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924"/>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sz w:val="24"/>
          <w:szCs w:val="24"/>
          <w:lang w:eastAsia="ar-SA"/>
        </w:rPr>
        <w:t xml:space="preserve">ões</w:t>
      </w:r>
      <w:r>
        <w:rPr>
          <w:rFonts w:ascii="Arial" w:hAnsi="Arial"/>
          <w:sz w:val="24"/>
          <w:szCs w:val="24"/>
          <w:lang w:eastAsia="ar-SA"/>
        </w:rPr>
        <w:t xml:space="preserve">) válida(s), conforme art. 43, §3º, do Decreto 10.024, de 2019.</w:t>
      </w:r>
      <w:r/>
    </w:p>
    <w:p>
      <w:pPr>
        <w:pStyle w:val="924"/>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sz w:val="24"/>
          <w:szCs w:val="24"/>
          <w:lang w:eastAsia="ar-SA"/>
        </w:rPr>
        <w:t xml:space="preserve">Ressalvado o disposto no item 5.3, os licitantes deverão encaminhar, nos termos deste Edital, a documentação relacionada nos itens a seguir, para fins de habilitação:</w:t>
      </w:r>
      <w:r/>
    </w:p>
    <w:p>
      <w:pPr>
        <w:pStyle w:val="924"/>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b/>
          <w:bCs/>
          <w:sz w:val="24"/>
          <w:szCs w:val="24"/>
        </w:rPr>
        <w:t xml:space="preserve">Habilitação jurídica: </w:t>
      </w:r>
      <w:r/>
    </w:p>
    <w:p>
      <w:pPr>
        <w:pStyle w:val="924"/>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924"/>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095"/>
            <w:rFonts w:ascii="Arial" w:hAnsi="Arial"/>
            <w:bCs/>
            <w:color w:val="000000"/>
            <w:sz w:val="24"/>
            <w:szCs w:val="24"/>
          </w:rPr>
          <w:t xml:space="preserve">www.portaldoempreendedor.gov.br</w:t>
        </w:r>
      </w:hyperlink>
      <w:r>
        <w:rPr>
          <w:rFonts w:ascii="Arial" w:hAnsi="Arial"/>
          <w:bCs/>
          <w:sz w:val="24"/>
          <w:szCs w:val="24"/>
        </w:rPr>
        <w:t xml:space="preserve">, que comprovem que o ramo de atividade da empresa é compatível com o objeto da Licitação.</w:t>
      </w:r>
      <w:r/>
    </w:p>
    <w:p>
      <w:pPr>
        <w:pStyle w:val="924"/>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empresária ou empresa individual de responsabilidade limitada - EIRELI: ato constituti</w:t>
      </w:r>
      <w:r>
        <w:rPr>
          <w:rFonts w:ascii="Arial" w:hAnsi="Arial"/>
          <w:bCs/>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924"/>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Inscr</w:t>
      </w:r>
      <w:r>
        <w:rPr>
          <w:rFonts w:ascii="Arial" w:hAnsi="Arial"/>
          <w:bCs/>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pStyle w:val="924"/>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simples: inscrição do ato constitutivo no Registro Civil das Pessoas Jurídicas do local de sua sede, acompanhada de prova da indicação dos seus administradores, </w:t>
      </w:r>
      <w:r>
        <w:rPr>
          <w:rFonts w:ascii="Arial" w:hAnsi="Arial"/>
          <w:bCs/>
          <w:sz w:val="24"/>
          <w:szCs w:val="24"/>
        </w:rPr>
        <w:t xml:space="preserve">que comprovem que o ramo de atividade da empresa é compatível com o objeto da Licitação.</w:t>
      </w:r>
      <w:r/>
    </w:p>
    <w:p>
      <w:pPr>
        <w:pStyle w:val="924"/>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cooperativa: ata de fu</w:t>
      </w:r>
      <w:r>
        <w:rPr>
          <w:rFonts w:ascii="Arial" w:hAnsi="Arial"/>
          <w:bCs/>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924"/>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empresa ou sociedade estrangeira em funcionamento no País: decreto de autorização.</w:t>
      </w:r>
      <w:r/>
    </w:p>
    <w:p>
      <w:pPr>
        <w:pStyle w:val="924"/>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consórcio autorizado, o ato de oficialização da atividade consorciada com os devidos documentos comprobatórios da sua diretoria e poderes a eles autorizados.</w:t>
      </w:r>
      <w:r/>
    </w:p>
    <w:p>
      <w:pPr>
        <w:pStyle w:val="924"/>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Os documentos acima deverão estar acompanhados de todas as alterações ou da consolidação respectiva.</w:t>
      </w:r>
      <w:r/>
    </w:p>
    <w:p>
      <w:pPr>
        <w:pStyle w:val="924"/>
        <w:numPr>
          <w:ilvl w:val="1"/>
          <w:numId w:val="1"/>
        </w:numPr>
        <w:contextualSpacing w:val="0"/>
        <w:ind w:left="1134" w:right="49" w:hanging="709"/>
        <w:jc w:val="both"/>
        <w:spacing w:before="57" w:after="57" w:line="360" w:lineRule="auto"/>
        <w:rPr>
          <w:rFonts w:ascii="Arial" w:hAnsi="Arial"/>
          <w:b/>
          <w:bCs/>
          <w:sz w:val="24"/>
          <w:szCs w:val="24"/>
        </w:rPr>
      </w:pPr>
      <w:r>
        <w:rPr>
          <w:rFonts w:ascii="Arial" w:hAnsi="Arial"/>
          <w:b/>
          <w:bCs/>
          <w:sz w:val="24"/>
          <w:szCs w:val="24"/>
        </w:rPr>
        <w:t xml:space="preserve">Regularidade fiscal e trabalhista: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inscrição no Cadastro Nacional de Pessoas Jurídicas ou no Cadastro de Pessoas Físicas (CNPJ), conforme o caso.</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w:t>
      </w:r>
      <w:r>
        <w:rPr>
          <w:rFonts w:ascii="Arial" w:hAnsi="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com o Fundo de Garantia do Tempo de Serviço (FGTS).</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inexistência de débitos</w:t>
      </w:r>
      <w:r>
        <w:rPr>
          <w:rFonts w:ascii="Arial" w:hAnsi="Arial"/>
          <w:sz w:val="24"/>
          <w:szCs w:val="24"/>
        </w:rPr>
        <w:t xml:space="preserve"> inadimplidos perante a justiça do trabalho (CNDT), mediante a apresentação de certidão negativa ou positiva com efeito de negativa, nos termos do Título VII-A da Consolidação das Leis do Trabalho, aprovada pelo Decreto-Lei nº 5.452, de 1º de maio de 1943.</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Estadual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lang w:bidi="pt-BR"/>
        </w:rPr>
        <w:t xml:space="preserve">Caso o licitante detentor do menor preço seja qualificado como microempresa ou empresa de pequeno porte </w:t>
      </w:r>
      <w:r>
        <w:rPr>
          <w:rFonts w:ascii="Arial" w:hAnsi="Arial"/>
          <w:sz w:val="24"/>
          <w:szCs w:val="24"/>
        </w:rPr>
        <w:t xml:space="preserve">deverá apresentar toda a documentação exigida para efeito de comprovação de regularidade fiscal, mesmo que esta apresente alguma restrição, sob pena de inabilitação.</w:t>
      </w:r>
      <w:r/>
    </w:p>
    <w:p>
      <w:pPr>
        <w:pStyle w:val="924"/>
        <w:numPr>
          <w:ilvl w:val="1"/>
          <w:numId w:val="1"/>
        </w:numPr>
        <w:contextualSpacing w:val="0"/>
        <w:ind w:left="1134" w:right="49" w:hanging="708"/>
        <w:jc w:val="both"/>
        <w:spacing w:before="57" w:after="57" w:line="360" w:lineRule="auto"/>
        <w:rPr>
          <w:rFonts w:ascii="Arial" w:hAnsi="Arial"/>
          <w:b/>
          <w:sz w:val="24"/>
          <w:szCs w:val="24"/>
        </w:rPr>
      </w:pPr>
      <w:r>
        <w:rPr>
          <w:rFonts w:ascii="Arial" w:hAnsi="Arial"/>
          <w:b/>
          <w:sz w:val="24"/>
          <w:szCs w:val="24"/>
        </w:rPr>
        <w:t xml:space="preserve">Qualificação econômico-financeira: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Certidão negativa de falência expedida pelo distribuidor da sede da pessoa jurídica</w:t>
      </w:r>
      <w:r>
        <w:rPr>
          <w:rFonts w:ascii="Arial" w:hAnsi="Arial"/>
          <w:sz w:val="24"/>
          <w:szCs w:val="24"/>
        </w:rPr>
        <w:t xml:space="preserv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Balanço patrimonial e demonstrações contábeis do último exercício social, já exigíveis e apresentados na f</w:t>
      </w:r>
      <w:r>
        <w:rPr>
          <w:rFonts w:ascii="Arial" w:hAnsi="Arial"/>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
          <w:sz w:val="24"/>
          <w:szCs w:val="24"/>
        </w:rPr>
        <w:t xml:space="preserve">Para efeito de segurança no procedimento licitatório, o Balanço Patrimonial a ser apresentado, deverá estar devidamente registrado na Junta Comercial do Estado sede da empresa licitante.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eastAsia="Arial"/>
          <w:sz w:val="24"/>
          <w:szCs w:val="24"/>
        </w:rPr>
        <w:t xml:space="preserve">Poderá</w:t>
      </w:r>
      <w:r>
        <w:rPr>
          <w:rFonts w:ascii="Arial" w:hAnsi="Arial" w:eastAsia="Arial"/>
          <w:sz w:val="24"/>
          <w:szCs w:val="24"/>
        </w:rPr>
        <w:t xml:space="preserve"> ser apresentado, para a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Cs/>
          <w:iCs/>
          <w:sz w:val="24"/>
          <w:szCs w:val="24"/>
        </w:rPr>
        <w:t xml:space="preserve">No caso de fornecimento</w:t>
      </w:r>
      <w:r>
        <w:rPr>
          <w:rFonts w:ascii="Arial" w:hAnsi="Arial"/>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É admissível o balanço intermediário, se decorrer de lei ou contrato social/estatuto social.</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Caso o licitante sej</w:t>
      </w:r>
      <w:r>
        <w:rPr>
          <w:rFonts w:ascii="Arial" w:hAnsi="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 Anexo III.</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bCs/>
          <w:sz w:val="24"/>
          <w:szCs w:val="24"/>
        </w:rPr>
        <w:t xml:space="preserve">A não apresentação ou incorreções nos referidos índices, inabilitará a empresa caso esta possua resultado inferior a 1 (um) em qualquer dos índices de Liquidez Geral (LG), Solvência Geral (SG) e Liqu</w:t>
      </w:r>
      <w:r>
        <w:rPr>
          <w:rFonts w:ascii="Arial" w:hAnsi="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924"/>
        <w:numPr>
          <w:ilvl w:val="1"/>
          <w:numId w:val="1"/>
        </w:numPr>
        <w:contextualSpacing w:val="0"/>
        <w:ind w:left="1134" w:right="51" w:hanging="708"/>
        <w:jc w:val="both"/>
        <w:spacing w:before="57" w:after="57" w:line="360" w:lineRule="auto"/>
        <w:rPr>
          <w:rFonts w:ascii="Arial" w:hAnsi="Arial"/>
          <w:b/>
          <w:bCs/>
          <w:iCs/>
          <w:sz w:val="24"/>
          <w:szCs w:val="24"/>
        </w:rPr>
      </w:pPr>
      <w:r>
        <w:rPr>
          <w:rFonts w:ascii="Arial" w:hAnsi="Arial"/>
          <w:b/>
          <w:bCs/>
          <w:iCs/>
          <w:sz w:val="24"/>
          <w:szCs w:val="24"/>
        </w:rPr>
        <w:t xml:space="preserve">Qualificação técnica: </w:t>
      </w:r>
      <w:r/>
    </w:p>
    <w:p>
      <w:pPr>
        <w:pStyle w:val="924"/>
        <w:numPr>
          <w:ilvl w:val="2"/>
          <w:numId w:val="1"/>
        </w:numPr>
        <w:contextualSpacing w:val="0"/>
        <w:ind w:left="1985" w:right="51"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w:t>
      </w:r>
      <w:r/>
    </w:p>
    <w:p>
      <w:pPr>
        <w:pStyle w:val="924"/>
        <w:numPr>
          <w:ilvl w:val="1"/>
          <w:numId w:val="1"/>
        </w:numPr>
        <w:contextualSpacing w:val="0"/>
        <w:ind w:left="1134" w:right="51" w:hanging="708"/>
        <w:jc w:val="both"/>
        <w:spacing w:before="57" w:after="57" w:line="360" w:lineRule="auto"/>
        <w:rPr>
          <w:rFonts w:ascii="Arial" w:hAnsi="Arial"/>
          <w:b/>
          <w:bCs/>
          <w:sz w:val="24"/>
          <w:szCs w:val="24"/>
          <w:u w:val="single"/>
        </w:rPr>
      </w:pPr>
      <w:r>
        <w:rPr>
          <w:rFonts w:ascii="Arial" w:hAnsi="Arial"/>
          <w:bCs/>
          <w:sz w:val="24"/>
          <w:szCs w:val="24"/>
        </w:rPr>
        <w:t xml:space="preserve">Os documentos exigidos para habilitação relacionados nos subitens acima, deverão ser apresentados em meio digital pelos licitantes, por meio de funcionalidade presente no sistema (upload).</w:t>
      </w:r>
      <w:r/>
    </w:p>
    <w:p>
      <w:pPr>
        <w:pStyle w:val="924"/>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924"/>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Não serão aceitos documentos com indicação de CNPJ/CPF diferentes, salvo aqueles legalmente permitidos.</w:t>
      </w:r>
      <w:r/>
    </w:p>
    <w:p>
      <w:pPr>
        <w:pStyle w:val="924"/>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 o licitante for a ma</w:t>
      </w:r>
      <w:r>
        <w:rPr>
          <w:rFonts w:ascii="Arial" w:hAnsi="Arial"/>
          <w:bCs/>
          <w:sz w:val="24"/>
          <w:szCs w:val="24"/>
        </w:rPr>
        <w:t xml:space="preserve">triz, todos os documentos deverão estar em nome da matriz, e se o licitante for a filial, todos os documentos deverão estar em nome da filial, exceto aqueles documentos que, pela própria natureza, comprovadamente, forem emitidos somente em nome da matriz, </w:t>
      </w:r>
      <w:r>
        <w:rPr>
          <w:rFonts w:ascii="Arial" w:hAnsi="Arial" w:cs="Arial" w:eastAsia="Arial"/>
          <w:sz w:val="24"/>
          <w:szCs w:val="24"/>
        </w:rPr>
        <w:t xml:space="preserve">e os atestados de capacidade técnica ou de responsabilidade técnica, os quais podem ser apresentados em nome e com o número do CNPJ da matriz ou da filial da empresa licitante.</w:t>
      </w:r>
      <w:r/>
    </w:p>
    <w:p>
      <w:pPr>
        <w:pStyle w:val="924"/>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924"/>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
          <w:bCs/>
          <w:sz w:val="24"/>
          <w:szCs w:val="24"/>
        </w:rPr>
        <w:t xml:space="preserve">Serão considerados os prazos de validade expressos nos documentos.</w:t>
      </w:r>
      <w:r/>
    </w:p>
    <w:p>
      <w:pPr>
        <w:pStyle w:val="924"/>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924"/>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Os certificados/certidões deverão ter prazo de validade com vencimento até, no mínimo, a data marcada para a abertura do certame.</w:t>
      </w:r>
      <w:r/>
    </w:p>
    <w:p>
      <w:pPr>
        <w:pStyle w:val="924"/>
        <w:numPr>
          <w:ilvl w:val="1"/>
          <w:numId w:val="1"/>
        </w:numPr>
        <w:contextualSpacing w:val="0"/>
        <w:ind w:left="1134" w:right="51" w:hanging="708"/>
        <w:jc w:val="both"/>
        <w:spacing w:before="57" w:after="57" w:line="360" w:lineRule="auto"/>
        <w:tabs>
          <w:tab w:val="left" w:pos="1134" w:leader="none"/>
        </w:tabs>
        <w:rPr>
          <w:rFonts w:ascii="Arial" w:hAnsi="Arial" w:eastAsia="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Além dos documentos previstos no item 10.4, 10.5, 10.6 e 10.7, as empresas </w:t>
      </w:r>
      <w:r>
        <w:rPr>
          <w:rFonts w:ascii="Arial" w:hAnsi="Arial"/>
          <w:b/>
          <w:sz w:val="24"/>
          <w:szCs w:val="24"/>
          <w:u w:val="single"/>
        </w:rPr>
        <w:t xml:space="preserve">DEVERÃO</w:t>
      </w:r>
      <w:r>
        <w:rPr>
          <w:rFonts w:ascii="Arial" w:hAnsi="Arial"/>
          <w:b/>
          <w:sz w:val="24"/>
          <w:szCs w:val="24"/>
        </w:rPr>
        <w:t xml:space="preserve"> encaminhar os anexos III e V:</w:t>
      </w:r>
      <w:r/>
    </w:p>
    <w:p>
      <w:pPr>
        <w:pStyle w:val="924"/>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III – Declaração de análise econômico-financeira.</w:t>
      </w:r>
      <w:r/>
    </w:p>
    <w:p>
      <w:pPr>
        <w:pStyle w:val="924"/>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V – Declaração conjunta de prazo de fornecimento/ início do serviço, artigo 88 da lei orgânica municipal e sobre funcionário inelegível.</w:t>
      </w:r>
      <w:r/>
    </w:p>
    <w:p>
      <w:pPr>
        <w:pStyle w:val="924"/>
        <w:numPr>
          <w:ilvl w:val="2"/>
          <w:numId w:val="1"/>
        </w:numPr>
        <w:contextualSpacing w:val="0"/>
        <w:ind w:left="1985" w:right="51" w:hanging="850"/>
        <w:jc w:val="both"/>
        <w:spacing w:before="57" w:after="57" w:line="360" w:lineRule="auto"/>
        <w:tabs>
          <w:tab w:val="left" w:pos="1985" w:leader="none"/>
        </w:tabs>
        <w:rPr>
          <w:rFonts w:ascii="Arial" w:hAnsi="Arial" w:eastAsia="Times New Roman"/>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As declarações contidas no item supramencionado, quando não apresentadas pelo licitante em sua documentação, deverão ser enviadas em até 30 (trinta) minutos quando solicitadas pelo Pregoeiro.</w:t>
      </w:r>
      <w:r/>
    </w:p>
    <w:p>
      <w:pPr>
        <w:pStyle w:val="924"/>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924"/>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bCs/>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924"/>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não-regularização fiscal e trabalhista no prazo previsto no subitem anterior acarretará a inabi</w:t>
      </w:r>
      <w:r>
        <w:rPr>
          <w:rFonts w:ascii="Arial" w:hAnsi="Arial"/>
          <w:bCs/>
          <w:sz w:val="24"/>
          <w:szCs w:val="24"/>
        </w:rPr>
        <w:t xml:space="preserve">litação do licitante, sem prejuízo das sanções previstas neste Edital, sendo facultada a convocação dos licitantes remanescentes, na ordem de classificação. Se, na ordem de classificação, seguir-se outra microempresa, empresa de pequeno porte ou sociedade </w:t>
      </w:r>
      <w:r>
        <w:rPr>
          <w:rFonts w:ascii="Arial" w:hAnsi="Arial"/>
          <w:bCs/>
          <w:sz w:val="24"/>
          <w:szCs w:val="24"/>
        </w:rPr>
        <w:t xml:space="preserve">cooperativa com alguma restrição na documentação fiscal e trabalhista, será concedido o mesmo prazo para regularização.</w:t>
      </w:r>
      <w:r>
        <w:rPr>
          <w:rFonts w:ascii="Arial" w:hAnsi="Arial"/>
          <w:sz w:val="24"/>
          <w:szCs w:val="24"/>
        </w:rPr>
        <w:t xml:space="preserve"> </w:t>
      </w:r>
      <w:r/>
    </w:p>
    <w:p>
      <w:pPr>
        <w:pStyle w:val="924"/>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Havendo necessidade de analisar minuciosamente os documentos exigidos, o Pregoeiro suspenderá a sessão, informando no “chat” a nova data e horário para a continuidade da mesma.</w:t>
      </w:r>
      <w:r/>
    </w:p>
    <w:p>
      <w:pPr>
        <w:pStyle w:val="924"/>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Será inabilitado o licitante que não comprovar sua habilitação, seja por não apresentar quaisquer dos documentos exigidos, ou apresentá-los em desacordo com o estabelecido neste Edital.</w:t>
      </w:r>
      <w:r/>
    </w:p>
    <w:p>
      <w:pPr>
        <w:pStyle w:val="924"/>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O licitante provisoriamente vencedor em um item, que estiver concorrendo em outro item</w:t>
      </w:r>
      <w:r>
        <w:rPr>
          <w:rFonts w:ascii="Arial" w:hAnsi="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924"/>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Constatado o atendimento às exigências de habilitação fixadas no Edital, o licitante será declarado vencedor.</w:t>
      </w:r>
      <w:r/>
    </w:p>
    <w:p>
      <w:pPr>
        <w:ind w:left="1134" w:right="49"/>
        <w:jc w:val="both"/>
        <w:spacing w:before="57" w:after="57" w:line="360" w:lineRule="auto"/>
        <w:tabs>
          <w:tab w:val="left" w:pos="1134" w:leader="none"/>
        </w:tabs>
        <w:rPr>
          <w:rFonts w:ascii="Arial" w:hAnsi="Arial"/>
          <w:sz w:val="24"/>
          <w:szCs w:val="24"/>
        </w:rPr>
      </w:pPr>
      <w:r>
        <w:rPr>
          <w:rFonts w:ascii="Arial" w:hAnsi="Arial"/>
          <w:sz w:val="24"/>
          <w:szCs w:val="24"/>
        </w:rPr>
      </w:r>
      <w:r/>
    </w:p>
    <w:p>
      <w:pPr>
        <w:pStyle w:val="1099"/>
        <w:numPr>
          <w:ilvl w:val="0"/>
          <w:numId w:val="1"/>
        </w:numPr>
        <w:ind w:left="284" w:right="49" w:hanging="284"/>
        <w:spacing w:before="57" w:after="57" w:line="360" w:lineRule="auto"/>
        <w:tabs>
          <w:tab w:val="left" w:pos="426" w:leader="none"/>
          <w:tab w:val="clear" w:pos="567" w:leader="none"/>
        </w:tabs>
        <w:rPr>
          <w:rFonts w:ascii="Arial" w:hAnsi="Arial"/>
          <w:iCs/>
          <w:sz w:val="24"/>
          <w:szCs w:val="24"/>
          <w:lang w:eastAsia="en-US"/>
        </w:rPr>
      </w:pPr>
      <w:r>
        <w:rPr>
          <w:rFonts w:ascii="Arial" w:hAnsi="Arial"/>
          <w:iCs/>
          <w:sz w:val="24"/>
          <w:szCs w:val="24"/>
          <w:lang w:eastAsia="en-US"/>
        </w:rPr>
        <w:t xml:space="preserve">DO </w:t>
      </w:r>
      <w:r>
        <w:rPr>
          <w:rFonts w:ascii="Arial" w:hAnsi="Arial"/>
          <w:iCs/>
          <w:sz w:val="24"/>
          <w:szCs w:val="24"/>
        </w:rPr>
        <w:t xml:space="preserve">ENCAMINHAMENTO</w:t>
      </w:r>
      <w:r>
        <w:rPr>
          <w:rFonts w:ascii="Arial" w:hAnsi="Arial"/>
          <w:iCs/>
          <w:sz w:val="24"/>
          <w:szCs w:val="24"/>
          <w:lang w:eastAsia="en-US"/>
        </w:rPr>
        <w:t xml:space="preserve"> DA PROPOSTA VENCEDORA</w:t>
      </w:r>
      <w:r/>
    </w:p>
    <w:p>
      <w:pPr>
        <w:pStyle w:val="924"/>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 xml:space="preserve">02 (duas) horas</w:t>
      </w:r>
      <w:r>
        <w:rPr>
          <w:rFonts w:ascii="Arial" w:hAnsi="Arial"/>
          <w:iCs/>
          <w:sz w:val="24"/>
          <w:szCs w:val="24"/>
        </w:rPr>
        <w:t xml:space="preserve">, a contar da solicitação do Pregoeiro no sistema eletrônico e deverá:</w:t>
      </w:r>
      <w:r/>
    </w:p>
    <w:p>
      <w:pPr>
        <w:pStyle w:val="924"/>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pStyle w:val="924"/>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Conter a indicação do banco, número da conta e agência do licitante vencedor, para fins de pagamento.</w:t>
      </w:r>
      <w:r/>
    </w:p>
    <w:p>
      <w:pPr>
        <w:pStyle w:val="924"/>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deverá ser documentada nos autos e será levada em consideração no decorrer da execução do contrato e aplicação de eventual sanção à Contratada, se for o caso.</w:t>
      </w:r>
      <w:r/>
    </w:p>
    <w:p>
      <w:pPr>
        <w:pStyle w:val="1096"/>
        <w:numPr>
          <w:ilvl w:val="2"/>
          <w:numId w:val="1"/>
        </w:numPr>
        <w:ind w:left="1985" w:right="49" w:hanging="851"/>
        <w:jc w:val="both"/>
        <w:spacing w:before="57" w:after="57" w:line="360" w:lineRule="auto"/>
        <w:rPr>
          <w:rFonts w:ascii="Arial" w:hAnsi="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iCs/>
          <w:sz w:val="24"/>
          <w:szCs w:val="24"/>
        </w:rPr>
        <w:t xml:space="preserve">Todas as especificações do objeto contidas na proposta, tais como marca, modelo, tipo, fabricante e procedência, vinculam a Contratada.</w:t>
      </w:r>
      <w:r/>
    </w:p>
    <w:p>
      <w:pPr>
        <w:pStyle w:val="924"/>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before="57" w:after="57" w:line="360" w:lineRule="auto"/>
        <w:rPr>
          <w:rFonts w:ascii="Arial" w:hAnsi="Arial"/>
          <w:iCs/>
          <w:sz w:val="24"/>
          <w:szCs w:val="24"/>
        </w:rPr>
      </w:pPr>
      <w:r>
        <w:rPr>
          <w:rFonts w:ascii="Arial" w:hAnsi="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ind w:left="1134"/>
        <w:jc w:val="both"/>
        <w:spacing w:before="57" w:after="57" w:line="360" w:lineRule="auto"/>
        <w:rPr>
          <w:rFonts w:ascii="Arial" w:hAnsi="Arial"/>
          <w:sz w:val="24"/>
          <w:szCs w:val="24"/>
        </w:rPr>
      </w:pPr>
      <w:r>
        <w:rPr>
          <w:rFonts w:ascii="Arial" w:hAnsi="Arial"/>
          <w:sz w:val="24"/>
          <w:szCs w:val="24"/>
        </w:rPr>
      </w:r>
      <w:r/>
    </w:p>
    <w:p>
      <w:pPr>
        <w:pStyle w:val="1096"/>
        <w:numPr>
          <w:ilvl w:val="0"/>
          <w:numId w:val="1"/>
        </w:numPr>
        <w:ind w:left="284" w:right="49" w:hanging="284"/>
        <w:jc w:val="both"/>
        <w:spacing w:before="57" w:after="57" w:line="360" w:lineRule="auto"/>
        <w:tabs>
          <w:tab w:val="left" w:pos="426" w:leader="none"/>
        </w:tabs>
        <w:rPr>
          <w:rFonts w:ascii="Arial" w:hAnsi="Arial"/>
          <w:sz w:val="24"/>
          <w:szCs w:val="24"/>
        </w:rPr>
      </w:pPr>
      <w:r>
        <w:rPr>
          <w:rFonts w:ascii="Arial" w:hAnsi="Arial" w:eastAsia="Arial"/>
          <w:b/>
          <w:sz w:val="24"/>
          <w:szCs w:val="24"/>
        </w:rPr>
        <w:t xml:space="preserve">DOS RECURSOS:</w:t>
      </w:r>
      <w:r/>
    </w:p>
    <w:p>
      <w:pPr>
        <w:pStyle w:val="924"/>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b/>
          <w:sz w:val="24"/>
          <w:szCs w:val="24"/>
        </w:rPr>
        <w:t xml:space="preserve">20 (vinte) minutos,</w:t>
      </w:r>
      <w:r>
        <w:rPr>
          <w:rFonts w:ascii="Arial" w:hAnsi="Arial"/>
          <w:sz w:val="24"/>
          <w:szCs w:val="24"/>
        </w:rPr>
        <w:t xml:space="preserve"> para que qualquer licitante manifeste a intenção de recorrer, de forma motivada, isto é, indicando contra qual(</w:t>
      </w:r>
      <w:r>
        <w:rPr>
          <w:rFonts w:ascii="Arial" w:hAnsi="Arial"/>
          <w:sz w:val="24"/>
          <w:szCs w:val="24"/>
        </w:rPr>
        <w:t xml:space="preserve">is</w:t>
      </w:r>
      <w:r>
        <w:rPr>
          <w:rFonts w:ascii="Arial" w:hAnsi="Arial"/>
          <w:sz w:val="24"/>
          <w:szCs w:val="24"/>
        </w:rPr>
        <w:t xml:space="preserve">) decisão(</w:t>
      </w:r>
      <w:r>
        <w:rPr>
          <w:rFonts w:ascii="Arial" w:hAnsi="Arial"/>
          <w:sz w:val="24"/>
          <w:szCs w:val="24"/>
        </w:rPr>
        <w:t xml:space="preserve">ões</w:t>
      </w:r>
      <w:r>
        <w:rPr>
          <w:rFonts w:ascii="Arial" w:hAnsi="Arial"/>
          <w:sz w:val="24"/>
          <w:szCs w:val="24"/>
        </w:rPr>
        <w:t xml:space="preserve">) pretende recorrer e por quais motivos, em campo próprio do sistema.</w:t>
      </w:r>
      <w:r/>
    </w:p>
    <w:p>
      <w:pPr>
        <w:pStyle w:val="924"/>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Nesse momento, o pregoeiro não adentrará no mérito recursal, mas apenas verificará as condições de admissibilidade do recurso.</w:t>
      </w:r>
      <w:r/>
    </w:p>
    <w:p>
      <w:pPr>
        <w:numPr>
          <w:ilvl w:val="2"/>
          <w:numId w:val="1"/>
        </w:numPr>
        <w:ind w:left="1985" w:right="51" w:hanging="851"/>
        <w:jc w:val="both"/>
        <w:spacing w:before="57" w:after="57" w:line="360" w:lineRule="auto"/>
        <w:tabs>
          <w:tab w:val="left" w:pos="1985" w:leader="none"/>
        </w:tabs>
        <w:rPr>
          <w:rFonts w:ascii="Arial" w:hAnsi="Arial"/>
          <w:sz w:val="24"/>
          <w:szCs w:val="24"/>
          <w:u w:val="single"/>
        </w:rPr>
      </w:pPr>
      <w:r>
        <w:rPr>
          <w:rFonts w:ascii="Arial" w:hAnsi="Arial"/>
          <w:sz w:val="24"/>
          <w:szCs w:val="24"/>
        </w:rPr>
        <w:t xml:space="preserve">A falta de manifestação motivada do licitante quanto à intenção de recorrer importará a decadência desse direito.</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Uma vez admitido o recurso, o recorrente terá, a partir de então, o prazo de 03 (três) dias úteis para apresentar as razões, pelo sistema eletrônico, ficando os demais licitantes, desde logo, intimados par</w:t>
      </w:r>
      <w:r>
        <w:rPr>
          <w:rFonts w:ascii="Arial" w:hAnsi="Arial"/>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924"/>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 acolhimento do recurso invalida tão somente os atos insuscetíveis de aproveitamento.</w:t>
      </w:r>
      <w:r/>
    </w:p>
    <w:p>
      <w:pPr>
        <w:pStyle w:val="924"/>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Os autos do processo permanecerão com vista franqueada aos interessados, no endereço constante neste Edital.</w:t>
      </w:r>
      <w:r/>
    </w:p>
    <w:p>
      <w:pPr>
        <w:pStyle w:val="924"/>
        <w:contextualSpacing w:val="0"/>
        <w:ind w:left="0" w:right="51"/>
        <w:jc w:val="both"/>
        <w:spacing w:before="57" w:after="57" w:line="360" w:lineRule="auto"/>
        <w:rPr>
          <w:rFonts w:ascii="Arial" w:hAnsi="Arial"/>
          <w:sz w:val="24"/>
          <w:szCs w:val="24"/>
        </w:rPr>
      </w:pPr>
      <w:r>
        <w:rPr>
          <w:rFonts w:ascii="Arial" w:hAnsi="Arial"/>
          <w:sz w:val="24"/>
          <w:szCs w:val="24"/>
        </w:rPr>
      </w:r>
      <w:r/>
    </w:p>
    <w:p>
      <w:pPr>
        <w:pStyle w:val="1096"/>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REABERTURA DA SESSÃO:</w:t>
      </w:r>
      <w:r/>
    </w:p>
    <w:p>
      <w:pPr>
        <w:pStyle w:val="1099"/>
        <w:numPr>
          <w:ilvl w:val="1"/>
          <w:numId w:val="1"/>
        </w:numPr>
        <w:ind w:left="1134" w:right="49" w:hanging="708"/>
        <w:keepLines w:val="0"/>
        <w:keepNext w:val="0"/>
        <w:spacing w:before="57" w:after="57" w:line="360" w:lineRule="auto"/>
        <w:tabs>
          <w:tab w:val="clear" w:pos="567" w:leader="none"/>
        </w:tabs>
        <w:rPr>
          <w:rFonts w:ascii="Arial" w:hAnsi="Arial" w:eastAsia="MS Mincho"/>
          <w:b w:val="0"/>
          <w:bCs w:val="0"/>
          <w:sz w:val="24"/>
          <w:szCs w:val="24"/>
        </w:rPr>
        <w:outlineLvl w:val="9"/>
      </w:pPr>
      <w:r>
        <w:rPr>
          <w:rFonts w:ascii="Arial" w:hAnsi="Arial" w:eastAsia="MS Mincho"/>
          <w:b w:val="0"/>
          <w:bCs w:val="0"/>
          <w:sz w:val="24"/>
          <w:szCs w:val="24"/>
        </w:rPr>
        <w:t xml:space="preserve">A sessão pública poderá ser reaberta:</w:t>
      </w:r>
      <w:r/>
    </w:p>
    <w:p>
      <w:pPr>
        <w:pStyle w:val="1099"/>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99"/>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Quando houver erro na aceitação do preço melhor classificado ou quando o licitante declarado vencedor não assinar o contr</w:t>
      </w:r>
      <w:r>
        <w:rPr>
          <w:rFonts w:ascii="Arial" w:hAnsi="Arial" w:eastAsia="MS Mincho"/>
          <w:b w:val="0"/>
          <w:bCs w:val="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099"/>
        <w:numPr>
          <w:ilvl w:val="1"/>
          <w:numId w:val="1"/>
        </w:numPr>
        <w:ind w:left="1134" w:right="49" w:hanging="708"/>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Todos os licitantes remanescentes deverão ser convocados para acompanhar a sessão reaberta.</w:t>
      </w:r>
      <w:r/>
    </w:p>
    <w:p>
      <w:pPr>
        <w:pStyle w:val="1099"/>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se dará por meio do sistema eletrônico (“chat”) ou e-mail, ou, de acordo com a fase do procedimento licitatório.</w:t>
      </w:r>
      <w:r/>
    </w:p>
    <w:p>
      <w:pPr>
        <w:pStyle w:val="1099"/>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feita por e-mail dar-se-á de acordo com os dados contidos no SICAF, sendo responsabilidade do licitante manter seus dados cadastrais atualizados.</w:t>
      </w:r>
      <w:r/>
    </w:p>
    <w:p>
      <w:r/>
      <w:r/>
    </w:p>
    <w:p>
      <w:pPr>
        <w:pStyle w:val="1096"/>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ADJUDICAÇÃO E HOMOLOGAÇÃO:</w:t>
      </w:r>
      <w:r/>
    </w:p>
    <w:p>
      <w:pPr>
        <w:pStyle w:val="924"/>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924"/>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Após a fase recursal, constatada a regularidade dos atos praticados, a autoridade competente homologará o procedimento licitatório.</w:t>
      </w:r>
      <w:r/>
    </w:p>
    <w:p>
      <w:pPr>
        <w:ind w:left="1134" w:right="49"/>
        <w:jc w:val="both"/>
        <w:spacing w:before="57" w:after="57" w:line="360" w:lineRule="auto"/>
        <w:rPr>
          <w:rFonts w:ascii="Arial" w:hAnsi="Arial"/>
          <w:sz w:val="24"/>
          <w:szCs w:val="24"/>
        </w:rPr>
      </w:pPr>
      <w:r>
        <w:rPr>
          <w:rFonts w:ascii="Arial" w:hAnsi="Arial"/>
          <w:sz w:val="24"/>
          <w:szCs w:val="24"/>
        </w:rPr>
      </w:r>
      <w:r/>
    </w:p>
    <w:p>
      <w:pPr>
        <w:numPr>
          <w:ilvl w:val="0"/>
          <w:numId w:val="1"/>
        </w:numPr>
        <w:ind w:right="49"/>
        <w:jc w:val="both"/>
        <w:spacing w:before="240" w:after="120" w:line="276" w:lineRule="auto"/>
        <w:rPr>
          <w:rFonts w:ascii="Arial" w:hAnsi="Arial" w:cs="Arial" w:eastAsia="Arial"/>
          <w:b/>
          <w:bCs/>
          <w:sz w:val="24"/>
          <w:szCs w:val="24"/>
        </w:rPr>
      </w:pPr>
      <w:r/>
      <w:bookmarkStart w:id="3" w:name="_Hlk34386771"/>
      <w:r>
        <w:rPr>
          <w:rFonts w:ascii="Arial" w:hAnsi="Arial" w:cs="Arial" w:eastAsia="Arial"/>
          <w:b/>
          <w:bCs/>
          <w:sz w:val="24"/>
          <w:szCs w:val="24"/>
        </w:rPr>
        <w:t xml:space="preserve">DA ATA DE REGISTRO DE PREÇOS</w:t>
      </w:r>
      <w:r/>
    </w:p>
    <w:p>
      <w:pPr>
        <w:pStyle w:val="924"/>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pStyle w:val="1096"/>
        <w:numPr>
          <w:ilvl w:val="2"/>
          <w:numId w:val="1"/>
        </w:numPr>
        <w:ind w:left="1985" w:right="51" w:hanging="850"/>
        <w:jc w:val="both"/>
        <w:spacing w:before="57" w:after="57" w:line="360"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pStyle w:val="924"/>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pStyle w:val="924"/>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pStyle w:val="924"/>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ind w:left="1134" w:right="49"/>
        <w:jc w:val="both"/>
        <w:spacing w:before="57" w:after="57" w:line="360" w:lineRule="auto"/>
        <w:rPr>
          <w:rFonts w:ascii="Arial" w:hAnsi="Arial" w:cs="Arial" w:eastAsia="Arial"/>
          <w:sz w:val="24"/>
          <w:szCs w:val="24"/>
        </w:rPr>
      </w:pPr>
      <w:r>
        <w:rPr>
          <w:rFonts w:ascii="Arial" w:hAnsi="Arial" w:cs="Arial" w:eastAsia="Arial"/>
          <w:sz w:val="24"/>
          <w:szCs w:val="24"/>
        </w:rPr>
      </w:r>
      <w:r/>
    </w:p>
    <w:p>
      <w:pPr>
        <w:numPr>
          <w:ilvl w:val="0"/>
          <w:numId w:val="1"/>
        </w:numPr>
        <w:ind w:right="49"/>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ACEITAÇÃO DO OBJETO</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O serviço deverá ser executado de forma parcelada, conforme solicitado pela secretaria solicitante, no prazo máximo 48 (quarenta e oito) horas corridos a partir do recebimento da Ordem de Serviço e Empenho.</w:t>
      </w:r>
      <w:r/>
    </w:p>
    <w:p>
      <w:pPr>
        <w:pStyle w:val="1096"/>
        <w:numPr>
          <w:ilvl w:val="2"/>
          <w:numId w:val="1"/>
        </w:numPr>
        <w:ind w:left="1985" w:right="51" w:hanging="850"/>
        <w:jc w:val="both"/>
        <w:spacing w:before="57" w:after="57" w:line="360" w:lineRule="auto"/>
        <w:rPr>
          <w:rFonts w:ascii="Arial" w:hAnsi="Arial" w:cs="Arial"/>
          <w:color w:val="000000"/>
          <w:sz w:val="24"/>
          <w:szCs w:val="24"/>
        </w:rPr>
      </w:pPr>
      <w:r>
        <w:rPr>
          <w:rFonts w:ascii="Arial" w:hAnsi="Arial" w:cs="Arial"/>
          <w:color w:val="000000"/>
          <w:sz w:val="24"/>
          <w:szCs w:val="24"/>
        </w:rPr>
        <w:t xml:space="preserve">A prestação do serviço ocorrerá em endereço indicado na Orde</w:t>
      </w:r>
      <w:r>
        <w:rPr>
          <w:rFonts w:ascii="Arial" w:hAnsi="Arial" w:cs="Arial"/>
          <w:color w:val="000000"/>
          <w:sz w:val="24"/>
          <w:szCs w:val="24"/>
        </w:rPr>
        <w:t xml:space="preserve">m de Compra, no município de Teresópolis - Estado do Rio de Janeiro, no horário a ser informado posteriormente (conforme o evento), devendo a contratada estar acompanhada da Nota Fiscal e cópia da Ordem de Compra, dentro do prazo estabelecido no item 16.1.</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Servir os alimentos em perfeitas condições de consumo, dentro do seu prazo de v</w:t>
      </w:r>
      <w:r>
        <w:rPr>
          <w:rFonts w:ascii="Arial" w:hAnsi="Arial" w:cs="Arial"/>
          <w:color w:val="000000"/>
          <w:sz w:val="24"/>
          <w:szCs w:val="24"/>
        </w:rPr>
        <w:t xml:space="preserve">alidade, sem propriedades tóxicas e alergênicas, responsabilizando-se pela qualidade dos mesmos. A Secretaria Municipal de Educação e a Secretaria de Governo e Coordenação não disponibilizará ao fornecedor nenhum equipamento necessário para elaboração dos </w:t>
      </w:r>
      <w:r>
        <w:rPr>
          <w:rFonts w:ascii="Arial" w:hAnsi="Arial" w:cs="Arial"/>
          <w:color w:val="000000"/>
          <w:sz w:val="24"/>
          <w:szCs w:val="24"/>
        </w:rPr>
        <w:t xml:space="preserve">alimentos e não se responsabilizará pela guarda daqueles que forem utilizados na prestação do serviço.</w:t>
      </w:r>
      <w:r/>
    </w:p>
    <w:p>
      <w:pPr>
        <w:pStyle w:val="1096"/>
        <w:numPr>
          <w:ilvl w:val="2"/>
          <w:numId w:val="1"/>
        </w:numPr>
        <w:ind w:left="1985" w:right="51" w:hanging="850"/>
        <w:jc w:val="both"/>
        <w:spacing w:before="57" w:after="57" w:line="360" w:lineRule="auto"/>
        <w:rPr>
          <w:rFonts w:ascii="Arial" w:hAnsi="Arial" w:cs="Arial"/>
          <w:color w:val="000000"/>
          <w:sz w:val="24"/>
          <w:szCs w:val="24"/>
        </w:rPr>
      </w:pPr>
      <w:r>
        <w:rPr>
          <w:rFonts w:ascii="Arial" w:hAnsi="Arial" w:cs="Arial"/>
          <w:color w:val="000000"/>
          <w:sz w:val="24"/>
          <w:szCs w:val="24"/>
        </w:rPr>
        <w:t xml:space="preserve">Será entendida como perfeitas condições de consumo os alimentos servidos dentro das características de aquecimento ou refrigeração.</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A contratada deverá fazer a reposição dos produtos que não preencham as especificações, imediatamente a contar da notificação pela secretaria solicitante, sendo que em caso de não aceitação do produto, a devolução será por conta da contratada.</w:t>
      </w:r>
      <w:r/>
    </w:p>
    <w:p>
      <w:pPr>
        <w:pStyle w:val="1096"/>
        <w:numPr>
          <w:ilvl w:val="2"/>
          <w:numId w:val="1"/>
        </w:numPr>
        <w:ind w:left="1985" w:right="51" w:hanging="850"/>
        <w:jc w:val="both"/>
        <w:spacing w:before="57" w:after="57" w:line="360" w:lineRule="auto"/>
        <w:rPr>
          <w:rFonts w:ascii="Arial" w:hAnsi="Arial" w:cs="Arial"/>
          <w:color w:val="000000"/>
          <w:sz w:val="24"/>
          <w:szCs w:val="24"/>
        </w:rPr>
      </w:pPr>
      <w:r>
        <w:rPr>
          <w:rFonts w:ascii="Arial" w:hAnsi="Arial" w:cs="Arial"/>
          <w:color w:val="000000"/>
          <w:sz w:val="24"/>
          <w:szCs w:val="24"/>
        </w:rPr>
        <w:t xml:space="preserve">Os produtos deverão ser repostos quando:</w:t>
      </w:r>
      <w:r/>
    </w:p>
    <w:p>
      <w:pPr>
        <w:pStyle w:val="1096"/>
        <w:numPr>
          <w:ilvl w:val="0"/>
          <w:numId w:val="26"/>
        </w:numPr>
        <w:ind w:left="1560" w:right="51"/>
        <w:jc w:val="both"/>
        <w:spacing w:before="57" w:after="57" w:line="360" w:lineRule="auto"/>
        <w:rPr>
          <w:rFonts w:ascii="Arial" w:hAnsi="Arial" w:cs="Arial"/>
          <w:color w:val="000000"/>
          <w:sz w:val="24"/>
          <w:szCs w:val="24"/>
        </w:rPr>
      </w:pPr>
      <w:r>
        <w:rPr>
          <w:rFonts w:ascii="Arial" w:hAnsi="Arial" w:cs="Arial"/>
          <w:color w:val="000000"/>
          <w:sz w:val="24"/>
          <w:szCs w:val="24"/>
        </w:rPr>
        <w:t xml:space="preserve">Houver, na entrega, embalagens danificadas, defeituosas ou inadequadas que exponham o produto à contaminação e/ou deterioração;</w:t>
      </w:r>
      <w:r/>
    </w:p>
    <w:p>
      <w:pPr>
        <w:pStyle w:val="1096"/>
        <w:numPr>
          <w:ilvl w:val="0"/>
          <w:numId w:val="26"/>
        </w:numPr>
        <w:ind w:left="1560" w:right="51"/>
        <w:jc w:val="both"/>
        <w:spacing w:before="57" w:after="57" w:line="360" w:lineRule="auto"/>
        <w:rPr>
          <w:rFonts w:ascii="Arial" w:hAnsi="Arial" w:cs="Arial"/>
          <w:color w:val="000000"/>
          <w:sz w:val="24"/>
          <w:szCs w:val="24"/>
        </w:rPr>
      </w:pPr>
      <w:r>
        <w:rPr>
          <w:rFonts w:ascii="Arial" w:hAnsi="Arial" w:cs="Arial"/>
          <w:color w:val="000000"/>
          <w:sz w:val="24"/>
          <w:szCs w:val="24"/>
        </w:rPr>
        <w:t xml:space="preserve">O produto não atender as legislações sanitárias em vigor, bem como </w:t>
      </w:r>
      <w:r>
        <w:rPr>
          <w:rFonts w:ascii="Arial" w:hAnsi="Arial" w:cs="Arial"/>
          <w:color w:val="000000"/>
          <w:sz w:val="24"/>
          <w:szCs w:val="24"/>
        </w:rPr>
        <w:t xml:space="preserve">outras referentes</w:t>
      </w:r>
      <w:r>
        <w:rPr>
          <w:rFonts w:ascii="Arial" w:hAnsi="Arial" w:cs="Arial"/>
          <w:color w:val="000000"/>
          <w:sz w:val="24"/>
          <w:szCs w:val="24"/>
        </w:rPr>
        <w:t xml:space="preserve"> ao produto em questão;</w:t>
      </w:r>
      <w:r/>
    </w:p>
    <w:p>
      <w:pPr>
        <w:pStyle w:val="1096"/>
        <w:numPr>
          <w:ilvl w:val="0"/>
          <w:numId w:val="26"/>
        </w:numPr>
        <w:ind w:left="1560" w:right="51"/>
        <w:jc w:val="both"/>
        <w:spacing w:before="57" w:after="57" w:line="360" w:lineRule="auto"/>
        <w:rPr>
          <w:rFonts w:ascii="Arial" w:hAnsi="Arial" w:cs="Arial"/>
          <w:color w:val="000000"/>
          <w:sz w:val="24"/>
          <w:szCs w:val="24"/>
        </w:rPr>
      </w:pPr>
      <w:r>
        <w:rPr>
          <w:rFonts w:ascii="Arial" w:hAnsi="Arial" w:cs="Arial"/>
          <w:color w:val="000000"/>
          <w:sz w:val="24"/>
          <w:szCs w:val="24"/>
        </w:rPr>
        <w:t xml:space="preserve">Houver, na entrega, produtos deteriorados ou impróprios para o consumo;</w:t>
      </w:r>
      <w:r/>
    </w:p>
    <w:p>
      <w:pPr>
        <w:pStyle w:val="1096"/>
        <w:numPr>
          <w:ilvl w:val="0"/>
          <w:numId w:val="26"/>
        </w:numPr>
        <w:ind w:left="1560" w:right="51"/>
        <w:jc w:val="both"/>
        <w:spacing w:before="57" w:after="57" w:line="360" w:lineRule="auto"/>
        <w:rPr>
          <w:rFonts w:ascii="Arial" w:hAnsi="Arial" w:cs="Arial"/>
          <w:color w:val="000000"/>
          <w:sz w:val="24"/>
          <w:szCs w:val="24"/>
        </w:rPr>
      </w:pPr>
      <w:r>
        <w:rPr>
          <w:rFonts w:ascii="Arial" w:hAnsi="Arial" w:cs="Arial"/>
          <w:color w:val="000000"/>
          <w:sz w:val="24"/>
          <w:szCs w:val="24"/>
        </w:rPr>
        <w:t xml:space="preserve">O produto não estiver de acordo com as características gerais, organolépticas e microbiológicas solicitas neste Termo de Referência;</w:t>
      </w:r>
      <w:r/>
    </w:p>
    <w:p>
      <w:pPr>
        <w:pStyle w:val="1096"/>
        <w:numPr>
          <w:ilvl w:val="0"/>
          <w:numId w:val="26"/>
        </w:numPr>
        <w:ind w:left="1560" w:right="51"/>
        <w:jc w:val="both"/>
        <w:spacing w:before="57" w:after="57" w:line="360" w:lineRule="auto"/>
        <w:rPr>
          <w:rFonts w:ascii="Arial" w:hAnsi="Arial" w:cs="Arial"/>
          <w:color w:val="000000"/>
          <w:sz w:val="24"/>
          <w:szCs w:val="24"/>
        </w:rPr>
      </w:pPr>
      <w:r>
        <w:rPr>
          <w:rFonts w:ascii="Arial" w:hAnsi="Arial" w:cs="Arial"/>
          <w:color w:val="000000"/>
          <w:sz w:val="24"/>
          <w:szCs w:val="24"/>
        </w:rPr>
        <w:t xml:space="preserve">O produto que não estiver no seu prazo de validade.</w:t>
      </w:r>
      <w:r/>
    </w:p>
    <w:p>
      <w:pPr>
        <w:pStyle w:val="1096"/>
        <w:numPr>
          <w:ilvl w:val="0"/>
          <w:numId w:val="26"/>
        </w:numPr>
        <w:ind w:left="1560" w:right="51"/>
        <w:jc w:val="both"/>
        <w:spacing w:before="57" w:after="57" w:line="360" w:lineRule="auto"/>
        <w:rPr>
          <w:rFonts w:ascii="Arial" w:hAnsi="Arial" w:cs="Arial"/>
          <w:color w:val="000000"/>
          <w:sz w:val="24"/>
          <w:szCs w:val="24"/>
        </w:rPr>
      </w:pPr>
      <w:r>
        <w:rPr>
          <w:rFonts w:ascii="Arial" w:hAnsi="Arial" w:cs="Arial"/>
          <w:color w:val="000000"/>
          <w:sz w:val="24"/>
          <w:szCs w:val="24"/>
        </w:rPr>
        <w:t xml:space="preserve">O produto apresentar temperatura superior ao estabelecido nas especificações, no ato da entrega;</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Espera-se, ainda, que o fornecedor desenvolva o serviço atentando para as práticas de sustentabilidade, evitando o uso demasiado de descartáveis, optando, quando for possível, pelo uso de louças.</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A Secretaria Municipal de Educação e de Governo e Coordenação se reserva no direito de não receber os produtos que estiverem em desacordo com o previsto neste Termo de Referência, podendo aplicar sanções cabíveis, nos termos da legislação vigente.</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O recebimento definitivo ocorrerá após a verificação da qualidade, quantidade, validade, respectivos prazos e consequentemente aceitação.</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O recebimento, provisório ou definitivo, não exclui a responsabilidade da Contratada pelos padrões adequados de qualidade e garantia dos produtos fornecidos, cabendo-lhe sanar quaisquer irregularidades detectadas.</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A O</w:t>
      </w:r>
      <w:r>
        <w:rPr>
          <w:rFonts w:ascii="Arial" w:hAnsi="Arial" w:cs="Arial"/>
          <w:color w:val="000000"/>
          <w:sz w:val="24"/>
          <w:szCs w:val="24"/>
        </w:rPr>
        <w:t xml:space="preserve">rdem de Fornecimento deverá conter a identificação do setor requisitante, indicação expressa do número do Pregão Eletrônico, do contrato, do processo, identificação da Contratada, as especificações do objeto, quantidade data, horário e endereço de entrega.</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A Ordem de Fornecimento será encaminhada por e-mail indicado pela Contratada na assinatura do contrato.</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A Contratada não poderá alterar o cardápio, salvo motivo de força maior ou caso fortuito e mediante solicitação prévia à Contratante, que</w:t>
      </w:r>
      <w:r>
        <w:rPr>
          <w:rFonts w:ascii="Arial" w:hAnsi="Arial" w:cs="Arial"/>
          <w:color w:val="000000"/>
          <w:sz w:val="24"/>
          <w:szCs w:val="24"/>
        </w:rPr>
        <w:t xml:space="preserve"> irá avaliar e, desde que não haja impacto no preço, nas características, na qualidade e na pontualidade do fornecimento, poderá, a seu critério, autorizar a alteração. Essa solicitação de alteração deverá ocorrer no mínimo 12 (doze) horas antes do evento.</w:t>
      </w:r>
      <w:r/>
    </w:p>
    <w:p>
      <w:pPr>
        <w:pStyle w:val="1096"/>
        <w:numPr>
          <w:ilvl w:val="2"/>
          <w:numId w:val="1"/>
        </w:numPr>
        <w:ind w:left="2127" w:right="51" w:hanging="992"/>
        <w:jc w:val="both"/>
        <w:spacing w:before="57" w:after="57" w:line="360" w:lineRule="auto"/>
        <w:rPr>
          <w:rFonts w:ascii="Arial" w:hAnsi="Arial" w:cs="Arial"/>
          <w:color w:val="000000"/>
          <w:sz w:val="24"/>
          <w:szCs w:val="24"/>
        </w:rPr>
      </w:pPr>
      <w:r>
        <w:rPr>
          <w:rFonts w:ascii="Arial" w:hAnsi="Arial" w:cs="Arial"/>
          <w:color w:val="000000"/>
          <w:sz w:val="24"/>
          <w:szCs w:val="24"/>
        </w:rPr>
        <w:t xml:space="preserve">Motivo de força maior ou caso fortuito: ocorrência de fato inevitável, imprevisto ou alheio à vontade do fornecedor.</w:t>
      </w:r>
      <w:r/>
    </w:p>
    <w:p>
      <w:pPr>
        <w:pStyle w:val="1096"/>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CONTRATAÇÃO:</w:t>
      </w:r>
      <w:r/>
    </w:p>
    <w:p>
      <w:pPr>
        <w:pStyle w:val="1096"/>
        <w:numPr>
          <w:ilvl w:val="1"/>
          <w:numId w:val="1"/>
        </w:numPr>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Após a homologação da licitação, em sendo realizada a contratação, será firmado Termo de Contrato ou emitido instrumento equivalente.</w:t>
      </w:r>
      <w:r/>
    </w:p>
    <w:p>
      <w:pPr>
        <w:pStyle w:val="1096"/>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O adjudicatário terá o prazo de 02 (dois) dias úteis, contados a par</w:t>
      </w:r>
      <w:r>
        <w:rPr>
          <w:rFonts w:ascii="Arial" w:hAnsi="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96"/>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Alternativamente à convocação para comparecer perante o órgão ou entidade para a assinatura do Termo de Contrato ou aceite do instrumento equivalente, a Ad</w:t>
      </w:r>
      <w:r>
        <w:rPr>
          <w:rFonts w:ascii="Arial" w:hAnsi="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99"/>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prazo previsto no subitem anterior poderá ser prorrogado, por igual período, por solicitação justificada do adjudicatário e aceita pela Administração.</w:t>
      </w:r>
      <w:r/>
    </w:p>
    <w:p>
      <w:pPr>
        <w:pStyle w:val="1099"/>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Aceite da Nota de Empenho ou do instrumento equivalente, emitida à empresa adjudicada, implica no reconhecimento de que:</w:t>
      </w:r>
      <w:r/>
    </w:p>
    <w:p>
      <w:pPr>
        <w:pStyle w:val="924"/>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referida Nota está substituindo o contrato, aplicando-se à relação de negócios ali estabelecida as disposições da Lei nº 8.666, de 1993.</w:t>
      </w:r>
      <w:r/>
    </w:p>
    <w:p>
      <w:pPr>
        <w:pStyle w:val="924"/>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se vincula à sua proposta e às previsões contidas no edital e seus anexos.</w:t>
      </w:r>
      <w:r/>
    </w:p>
    <w:p>
      <w:pPr>
        <w:pStyle w:val="924"/>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924"/>
        <w:numPr>
          <w:ilvl w:val="1"/>
          <w:numId w:val="1"/>
        </w:numPr>
        <w:contextualSpacing w:val="0"/>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924"/>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Nos casos em que houver necessidade de assinatura do instrumento de contrato, e o fornecedor não estiver inscrito no </w:t>
      </w:r>
      <w:r>
        <w:rPr>
          <w:rFonts w:ascii="Arial" w:hAnsi="Arial" w:eastAsia="Arial"/>
          <w:sz w:val="24"/>
          <w:szCs w:val="24"/>
        </w:rPr>
        <w:t xml:space="preserve">SICAF, este deverá proceder ao seu cadastramento, sem ônus, antes da contratação.</w:t>
      </w:r>
      <w:r/>
    </w:p>
    <w:p>
      <w:pPr>
        <w:pStyle w:val="1099"/>
        <w:numPr>
          <w:ilvl w:val="2"/>
          <w:numId w:val="1"/>
        </w:numPr>
        <w:ind w:left="1985" w:right="49" w:hanging="851"/>
        <w:spacing w:before="57" w:after="57" w:line="360" w:lineRule="auto"/>
        <w:rPr>
          <w:rFonts w:ascii="Arial" w:hAnsi="Arial" w:eastAsia="Arial"/>
          <w:b w:val="0"/>
          <w:sz w:val="24"/>
          <w:szCs w:val="24"/>
        </w:rPr>
      </w:pPr>
      <w:r>
        <w:rPr>
          <w:rFonts w:ascii="Arial" w:hAnsi="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3"/>
      <w:r/>
      <w:r/>
    </w:p>
    <w:p>
      <w:pPr>
        <w:numPr>
          <w:ilvl w:val="1"/>
          <w:numId w:val="1"/>
        </w:numPr>
        <w:ind w:left="1134" w:hanging="708"/>
        <w:jc w:val="both"/>
        <w:spacing w:before="57" w:after="57" w:line="360" w:lineRule="auto"/>
        <w:rPr>
          <w:rFonts w:ascii="Arial" w:hAnsi="Arial"/>
          <w:sz w:val="24"/>
        </w:rPr>
      </w:pPr>
      <w:r>
        <w:rPr>
          <w:rFonts w:ascii="Arial" w:hAnsi="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1134" w:hanging="708"/>
        <w:jc w:val="both"/>
        <w:spacing w:before="57" w:after="57" w:line="360" w:lineRule="auto"/>
        <w:rPr>
          <w:rFonts w:ascii="Arial" w:hAnsi="Arial"/>
          <w:sz w:val="24"/>
          <w:lang w:eastAsia="pt-BR"/>
        </w:rPr>
      </w:pPr>
      <w:r>
        <w:rPr>
          <w:rFonts w:ascii="Arial" w:hAnsi="Arial"/>
          <w:sz w:val="24"/>
        </w:rPr>
        <w:t xml:space="preserve">Na hipótese de o vencedor da licitação não comprovar as condições de habilitação</w:t>
      </w:r>
      <w:r>
        <w:rPr>
          <w:rFonts w:ascii="Arial" w:hAnsi="Arial"/>
          <w:sz w:val="24"/>
          <w:lang w:eastAsia="pt-BR"/>
        </w:rPr>
        <w:t xml:space="preserve"> consignadas no edital ou se recusar a assinar o contrato, a Administração, sem prejuízo da aplicação das sanções das demais cominações legais </w:t>
      </w:r>
      <w:r>
        <w:rPr>
          <w:rFonts w:ascii="Arial" w:hAnsi="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bookmarkStart w:id="4" w:name="_Hlk34387742"/>
      <w:r/>
      <w:r/>
    </w:p>
    <w:p>
      <w:pPr>
        <w:ind w:left="1134"/>
        <w:jc w:val="both"/>
        <w:spacing w:before="57" w:after="57" w:line="360" w:lineRule="auto"/>
        <w:rPr>
          <w:rFonts w:ascii="Arial" w:hAnsi="Arial"/>
          <w:sz w:val="24"/>
          <w:lang w:eastAsia="pt-BR"/>
        </w:rPr>
      </w:pPr>
      <w:r>
        <w:rPr>
          <w:rFonts w:ascii="Arial" w:hAnsi="Arial"/>
          <w:sz w:val="24"/>
          <w:lang w:eastAsia="pt-BR"/>
        </w:rPr>
      </w:r>
      <w:r/>
    </w:p>
    <w:p>
      <w:pPr>
        <w:pStyle w:val="1082"/>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CONTRATANTE</w:t>
      </w:r>
      <w:r/>
    </w:p>
    <w:p>
      <w:pPr>
        <w:pStyle w:val="924"/>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cs="Arial"/>
          <w:sz w:val="24"/>
          <w:szCs w:val="24"/>
        </w:rPr>
        <w:t xml:space="preserve">Notificar a Contratada, por escrito, quaisquer irregularidades que venham ocorrer, em função da execução do serviço constantes na Ordem de Fornecimento.</w:t>
      </w:r>
      <w:r/>
    </w:p>
    <w:p>
      <w:pPr>
        <w:pStyle w:val="924"/>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Fornecer todos os elementos básicos e dados complementares necessários à execução do serviço.</w:t>
      </w:r>
      <w:r/>
    </w:p>
    <w:p>
      <w:pPr>
        <w:pStyle w:val="924"/>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Assegurar os recursos orçamentários e financeiros para custear a prestação do serviço.</w:t>
      </w:r>
      <w:r/>
    </w:p>
    <w:p>
      <w:pPr>
        <w:pStyle w:val="924"/>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Praticar todos os atos de controle e administração do Sistema de Registro de Preços.</w:t>
      </w:r>
      <w:r/>
    </w:p>
    <w:p>
      <w:pPr>
        <w:pStyle w:val="924"/>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Efetuar o registro do fornecedor e firmar a correspondente Ata de Registro de Preços.</w:t>
      </w:r>
      <w:r/>
    </w:p>
    <w:p>
      <w:pPr>
        <w:pStyle w:val="924"/>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Rejeitar, no todo ou em parte, os produtos que o licitante entregar fora das especificações contidas neste Termo de Referência.</w:t>
      </w:r>
      <w:r/>
    </w:p>
    <w:p>
      <w:pPr>
        <w:pStyle w:val="924"/>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Aplicar as penalidades por descumprimento contratual ou do pactuado na Ata de Registro de Preços.</w:t>
      </w:r>
      <w:r/>
    </w:p>
    <w:p>
      <w:pPr>
        <w:pStyle w:val="924"/>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Receber o material, conforme local, data e horário estipulados na Ordem de Compra.</w:t>
      </w:r>
      <w:r/>
    </w:p>
    <w:p>
      <w:pPr>
        <w:pStyle w:val="924"/>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Fiscalizar a execução do objeto contratual através de sua unidade competente, podendo, em decorrência solicitar providências da CONTRATADA, que atenderá ou justificará de imediato.</w:t>
      </w:r>
      <w:r/>
    </w:p>
    <w:p>
      <w:pPr>
        <w:pStyle w:val="924"/>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Efetuar os pagamentos devidos a CONTRATADA nas condições estabelecidas neste instrumento.</w:t>
      </w:r>
      <w:r/>
    </w:p>
    <w:p>
      <w:pPr>
        <w:ind w:left="1134" w:right="49"/>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r>
      <w:r/>
    </w:p>
    <w:p>
      <w:pPr>
        <w:pStyle w:val="924"/>
        <w:numPr>
          <w:ilvl w:val="0"/>
          <w:numId w:val="1"/>
        </w:numPr>
        <w:contextualSpacing w:val="0"/>
        <w:ind w:left="284" w:right="49" w:hanging="284"/>
        <w:jc w:val="both"/>
        <w:spacing w:before="57" w:after="57" w:line="360" w:lineRule="auto"/>
        <w:widowControl w:val="off"/>
        <w:tabs>
          <w:tab w:val="left" w:pos="426" w:leader="none"/>
        </w:tabs>
        <w:rPr>
          <w:rFonts w:ascii="Arial" w:hAnsi="Arial"/>
          <w:sz w:val="24"/>
          <w:szCs w:val="24"/>
        </w:rPr>
      </w:pPr>
      <w:r>
        <w:rPr>
          <w:rFonts w:ascii="Arial" w:hAnsi="Arial"/>
          <w:b/>
          <w:sz w:val="24"/>
          <w:szCs w:val="24"/>
        </w:rPr>
        <w:t xml:space="preserve">OBRIGAÇÕES DA CONTRATADA</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Executar o serviço conforme especificações e no local de entrega previsto, acompanhado da respectiva nota fiscal constando detalhadamente o material solicitado.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Responsabilizar-se por todos os prejuízos que porventura ocasione ao Município ou a terceiros, em razão do fornecimento decorrente do da execução do objeto no Termo de Referência.</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Não transferir a outrem, no todo ou em parte, o objeto do Termo de Referência, sem prévia e expressa anuência do Contratante.</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eastAsia="Arial Unicode MS"/>
          <w:sz w:val="24"/>
          <w:szCs w:val="24"/>
        </w:rPr>
        <w:t xml:space="preserve">Atender satisfatoriamente em consonância com as regras contratuais.</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eastAsia="Arial Unicode MS"/>
          <w:sz w:val="24"/>
          <w:szCs w:val="24"/>
        </w:rPr>
        <w:t xml:space="preserve">Fornecer os produtos conforme proposto pela Contratante, durante o prazo de vigência do contrato, sem qualquer ônus adicional.</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eastAsia="Arial Unicode MS"/>
          <w:sz w:val="24"/>
          <w:szCs w:val="24"/>
        </w:rPr>
        <w:t xml:space="preserve">Manter, durante toda a execução da Ordem de Fornecimento, em compatibilidade com as obrigações assumidas, todas as condições de habilitação e qualificações exigidas.</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Comunicar de imediato e por escrito qualquer tipo de irregularidade que possa ocorrer durante a vigência do contrato.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eastAsia="Arial Unicode MS"/>
          <w:sz w:val="24"/>
          <w:szCs w:val="24"/>
        </w:rPr>
        <w:t xml:space="preserve">Utilizar pessoal próprio ou credenciado, responsabilizando-se por todos os encargos trabalhistas, previdenciários, trabalhistas, previdenciários, fiscais e comerciais resultantes da execução do objeto do Termo de Referência.</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Retirar, transportar, substituir, reparar, às suas expensas, no todo ou em pa</w:t>
      </w:r>
      <w:r>
        <w:rPr>
          <w:rFonts w:ascii="Arial" w:hAnsi="Arial" w:cs="Arial"/>
          <w:bCs/>
          <w:sz w:val="24"/>
          <w:szCs w:val="24"/>
        </w:rPr>
        <w:t xml:space="preserve">rte, os produtos em que se verifique danos em decorrência do transporte e avarias, bem como providenciar a substituição dos mesmos, imediatamente, contados a partir da notificação da Secretaria Municipal de Educação e a Secretaria de Governo e Coordenação.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Responsabilizar-se pelas despesas comerciais, taxas, fretes, seguros, deslocamentos de pessoal e quaisquer outras que incidam ou venham a incidir na execução do serviço.</w:t>
      </w:r>
      <w:r/>
    </w:p>
    <w:p>
      <w:pPr>
        <w:pStyle w:val="924"/>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Durante o prazo de validade da Ata de Registro de Preços, a detentora fica obrigada a fornecer os produtos ofertados, na quantidade indicada pela Secretaria Municipal de Educação e de Governo e Coordenação durante o prazo de 12 (doze) meses.</w:t>
      </w:r>
      <w:r/>
    </w:p>
    <w:p>
      <w:pPr>
        <w:pStyle w:val="1082"/>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 CONTROLE E FISCALIZAÇÃO DA</w:t>
      </w:r>
      <w:r>
        <w:rPr>
          <w:rFonts w:ascii="Arial" w:hAnsi="Arial"/>
          <w:spacing w:val="1"/>
          <w:u w:val="none"/>
        </w:rPr>
        <w:t xml:space="preserve"> </w:t>
      </w:r>
      <w:r>
        <w:rPr>
          <w:rFonts w:ascii="Arial" w:hAnsi="Arial"/>
          <w:u w:val="none"/>
        </w:rPr>
        <w:t xml:space="preserve">EXECUÇÃO</w:t>
      </w:r>
      <w:r/>
    </w:p>
    <w:p>
      <w:pPr>
        <w:pStyle w:val="924"/>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cs="Arial"/>
          <w:sz w:val="24"/>
          <w:szCs w:val="24"/>
        </w:rPr>
        <w:t xml:space="preserve">A fiscalização e o recebimento definitivo da execução</w:t>
      </w:r>
      <w:r>
        <w:rPr>
          <w:rFonts w:ascii="Arial" w:hAnsi="Arial" w:cs="Arial"/>
          <w:sz w:val="24"/>
          <w:szCs w:val="24"/>
        </w:rPr>
        <w:t xml:space="preserve"> do serviço objeto deste termo de referência serão feitos pela Secretaria Municipal de Educação e Secretaria Municipal de Governo e Coordenação, nos termos do Artigo 67 da Lei Federal 8.666/93, que deverás atestar a execução do serviço conforme contratado.</w:t>
      </w:r>
      <w:r/>
    </w:p>
    <w:p>
      <w:pPr>
        <w:pStyle w:val="924"/>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cs="Arial"/>
          <w:sz w:val="24"/>
          <w:szCs w:val="24"/>
        </w:rPr>
        <w:t xml:space="preserve">A Secretaria Municipal de Educação e a Secretaria Municipal de Governo e Coordenação designará formalmente o servidor para acompanhar e fiscalizar a execução do objeto do Termo de Referência.</w:t>
      </w:r>
      <w:r/>
    </w:p>
    <w:p>
      <w:pPr>
        <w:pStyle w:val="924"/>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No caso </w:t>
      </w:r>
      <w:r>
        <w:rPr>
          <w:rFonts w:ascii="Arial" w:hAnsi="Arial"/>
          <w:sz w:val="24"/>
          <w:szCs w:val="24"/>
        </w:rPr>
        <w:t xml:space="preserve">da</w:t>
      </w:r>
      <w:r>
        <w:rPr>
          <w:rFonts w:ascii="Arial" w:hAnsi="Arial"/>
          <w:sz w:val="24"/>
          <w:szCs w:val="24"/>
        </w:rPr>
        <w:t xml:space="preserve"> execução do serviço apresentar alguma irregularidade, esta será recusada, cabendo à detentora substituí-la por outra com as mesmas características exigidas, imediatamente, prazo estipulado no item 16.2.</w:t>
      </w:r>
      <w:r/>
    </w:p>
    <w:p>
      <w:pPr>
        <w:pStyle w:val="1082"/>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w:t>
      </w:r>
      <w:r>
        <w:rPr>
          <w:rFonts w:ascii="Arial" w:hAnsi="Arial"/>
          <w:spacing w:val="-1"/>
          <w:u w:val="none"/>
        </w:rPr>
        <w:t xml:space="preserve"> </w:t>
      </w:r>
      <w:r>
        <w:rPr>
          <w:rFonts w:ascii="Arial" w:hAnsi="Arial"/>
          <w:u w:val="none"/>
        </w:rPr>
        <w:t xml:space="preserve">PAGAMENTO</w:t>
      </w:r>
      <w:r/>
    </w:p>
    <w:p>
      <w:pPr>
        <w:pStyle w:val="1082"/>
        <w:numPr>
          <w:ilvl w:val="1"/>
          <w:numId w:val="1"/>
        </w:numPr>
        <w:ind w:left="1134" w:right="49" w:hanging="709"/>
        <w:keepNext w:val="0"/>
        <w:spacing w:before="57" w:after="57" w:line="360" w:lineRule="auto"/>
        <w:widowControl w:val="off"/>
        <w:tabs>
          <w:tab w:val="left" w:pos="426" w:leader="none"/>
        </w:tabs>
        <w:rPr>
          <w:rFonts w:ascii="Arial" w:hAnsi="Arial"/>
          <w:b w:val="0"/>
          <w:u w:val="none"/>
        </w:rPr>
      </w:pPr>
      <w:r>
        <w:rPr>
          <w:rFonts w:ascii="Arial" w:hAnsi="Arial" w:cs="Arial" w:eastAsia="Arial"/>
          <w:b w:val="0"/>
          <w:u w:val="none"/>
        </w:rPr>
      </w:r>
      <w:r>
        <w:rPr>
          <w:rFonts w:ascii="Arial" w:hAnsi="Arial" w:cs="Arial" w:eastAsia="Arial"/>
          <w:b w:val="0"/>
          <w:u w:val="none"/>
        </w:rPr>
        <w:t xml:space="preserve">O</w:t>
      </w:r>
      <w:r>
        <w:rPr>
          <w:rFonts w:ascii="Arial" w:hAnsi="Arial" w:cs="Arial" w:eastAsia="Arial"/>
          <w:b w:val="0"/>
          <w:u w:val="none"/>
        </w:rPr>
        <w:t xml:space="preserve"> pagamento será efetuado no prazo máximo de até 30 (trinta) dias após a abertura do processo de pagamento que deverá ser realizada na forma digital, através do link: https://teresopolis.1doc.com.br/b.php?pg=wp/wp&amp;itd=5,  devendo constar toda documentação a</w:t>
      </w:r>
      <w:r>
        <w:rPr>
          <w:rFonts w:ascii="Arial" w:hAnsi="Arial" w:cs="Arial" w:eastAsia="Arial"/>
          <w:b w:val="0"/>
          <w:u w:val="none"/>
        </w:rPr>
        <w:t xml:space="preserve">baixo elencada:</w:t>
      </w:r>
      <w:r>
        <w:rPr>
          <w:rFonts w:ascii="Arial" w:hAnsi="Arial" w:cs="Arial" w:eastAsia="Arial"/>
          <w:b w:val="0"/>
          <w:u w:val="none"/>
        </w:rPr>
        <w:t xml:space="preserve">:</w:t>
      </w:r>
      <w:r/>
    </w:p>
    <w:p>
      <w:pPr>
        <w:numPr>
          <w:ilvl w:val="2"/>
          <w:numId w:val="1"/>
        </w:numPr>
        <w:ind w:left="1984" w:hanging="850"/>
        <w:jc w:val="both"/>
        <w:spacing w:before="57" w:after="57" w:line="360" w:lineRule="auto"/>
        <w:tabs>
          <w:tab w:val="left" w:pos="1134" w:leader="none"/>
        </w:tabs>
        <w:rPr>
          <w:rFonts w:ascii="Arial" w:hAnsi="Arial" w:cs="Arial" w:eastAsia="Arial"/>
          <w:sz w:val="24"/>
          <w:szCs w:val="24"/>
        </w:rPr>
      </w:pPr>
      <w:r>
        <w:rPr>
          <w:rFonts w:ascii="Arial" w:hAnsi="Arial" w:cs="Arial" w:eastAsia="Arial"/>
          <w:sz w:val="24"/>
          <w:szCs w:val="24"/>
        </w:rPr>
      </w:r>
      <w:r>
        <w:rPr>
          <w:rFonts w:ascii="Arial" w:hAnsi="Arial" w:cs="Arial" w:eastAsia="Arial"/>
          <w:sz w:val="24"/>
          <w:szCs w:val="24"/>
        </w:rPr>
        <w:t xml:space="preserve">A Contratada deverá ainda apresentar a Documentação de Regularidade Fiscal com as Fazendas Federal, Estadual, Municipal, Certificado de Regularidade de situação relativo aos FGTS, Certidão Negativa de Débitos Trabalhistas juntamente com a Nota Fiscal</w:t>
      </w:r>
      <w:r>
        <w:rPr>
          <w:rFonts w:ascii="Arial" w:hAnsi="Arial" w:cs="Arial" w:eastAsia="Arial"/>
          <w:sz w:val="24"/>
          <w:szCs w:val="24"/>
        </w:rPr>
        <w:t xml:space="preserv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numPr>
          <w:ilvl w:val="2"/>
          <w:numId w:val="1"/>
        </w:numPr>
        <w:ind w:left="1985" w:right="49" w:hanging="851"/>
        <w:jc w:val="both"/>
        <w:spacing w:after="120" w:line="360" w:lineRule="auto"/>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Constatando-se, junto ao SICAF, a situação de irregularidade da contratada, será providenciada sua notificação, por escrito, para que, no </w:t>
      </w:r>
      <w:r>
        <w:rPr>
          <w:rFonts w:ascii="Arial" w:hAnsi="Arial" w:cs="Arial"/>
          <w:sz w:val="24"/>
          <w:szCs w:val="24"/>
        </w:rPr>
        <w:t xml:space="preserve">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Será res</w:t>
      </w:r>
      <w:r>
        <w:rPr>
          <w:rFonts w:ascii="Arial" w:hAnsi="Arial" w:cs="Arial"/>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numPr>
          <w:ilvl w:val="1"/>
          <w:numId w:val="1"/>
        </w:numPr>
        <w:ind w:left="1134" w:hanging="708"/>
        <w:jc w:val="both"/>
        <w:spacing w:before="57" w:after="57" w:line="360" w:lineRule="auto"/>
        <w:tabs>
          <w:tab w:val="left" w:pos="1134" w:leader="none"/>
        </w:tabs>
        <w:rPr>
          <w:rFonts w:ascii="Arial" w:hAnsi="Arial" w:cs="Arial"/>
          <w:sz w:val="24"/>
          <w:szCs w:val="24"/>
          <w:highlight w:val="yellow"/>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1134"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1134"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1134"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1134"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111"/>
        <w:ind w:left="1134" w:right="49"/>
        <w:jc w:val="both"/>
        <w:spacing w:line="360" w:lineRule="auto"/>
        <w:rPr>
          <w:sz w:val="24"/>
          <w:szCs w:val="24"/>
        </w:rPr>
      </w:pPr>
      <w:r>
        <w:rPr>
          <w:sz w:val="24"/>
          <w:szCs w:val="24"/>
        </w:rPr>
        <w:t xml:space="preserve">I = Índice de compensação financeira = 0,00016438, assim apurado:</w:t>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I = Índice de compensação financeira = 0,00016438, assim apurado:</w:t>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I = (</w:t>
      </w:r>
      <w:r>
        <w:rPr>
          <w:rFonts w:ascii="Arial" w:hAnsi="Arial" w:cs="Arial" w:eastAsia="Arial"/>
          <w:sz w:val="24"/>
          <w:szCs w:val="24"/>
        </w:rPr>
        <w:t xml:space="preserve">TX)</w:t>
      </w:r>
      <w:r>
        <w:rPr>
          <w:rFonts w:ascii="Arial" w:hAnsi="Arial" w:cs="Arial" w:eastAsia="Arial"/>
          <w:sz w:val="24"/>
          <w:szCs w:val="24"/>
        </w:rPr>
        <w:tab/>
      </w:r>
      <w:r>
        <w:rPr>
          <w:rFonts w:ascii="Arial" w:hAnsi="Arial" w:cs="Arial" w:eastAsia="Arial"/>
          <w:sz w:val="24"/>
          <w:szCs w:val="24"/>
        </w:rPr>
        <w:t xml:space="preserve">I =</w:t>
      </w:r>
      <w:r>
        <w:rPr>
          <w:rFonts w:ascii="Arial" w:hAnsi="Arial" w:cs="Arial" w:eastAsia="Arial"/>
          <w:sz w:val="24"/>
          <w:szCs w:val="24"/>
        </w:rPr>
        <w:tab/>
        <w:t xml:space="preserve">( 6 / 100 ) </w:t>
      </w:r>
      <w:r>
        <w:rPr>
          <w:rFonts w:ascii="Arial" w:hAnsi="Arial" w:cs="Arial" w:eastAsia="Arial"/>
          <w:sz w:val="24"/>
          <w:szCs w:val="24"/>
        </w:rPr>
        <w:tab/>
      </w:r>
      <w:r>
        <w:rPr>
          <w:rFonts w:ascii="Arial" w:hAnsi="Arial" w:cs="Arial" w:eastAsia="Arial"/>
          <w:sz w:val="24"/>
          <w:szCs w:val="24"/>
        </w:rPr>
        <w:tab/>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____________ I = 0,00016438</w:t>
      </w:r>
      <w:r/>
    </w:p>
    <w:p>
      <w:pPr>
        <w:ind w:left="1276" w:right="49"/>
        <w:spacing w:line="276" w:lineRule="auto"/>
        <w:rPr>
          <w:rFonts w:ascii="Arial" w:hAnsi="Arial" w:cs="Arial" w:eastAsia="Arial"/>
          <w:sz w:val="24"/>
          <w:szCs w:val="24"/>
        </w:rPr>
      </w:pPr>
      <w:r>
        <w:rPr>
          <w:rFonts w:ascii="Arial" w:hAnsi="Arial" w:cs="Arial" w:eastAsia="Arial"/>
          <w:sz w:val="24"/>
          <w:szCs w:val="24"/>
        </w:rPr>
        <w:t xml:space="preserve">TX = Percentual da taxa anual =</w:t>
      </w:r>
      <w:r/>
    </w:p>
    <w:p>
      <w:pPr>
        <w:ind w:left="1276" w:right="49"/>
        <w:spacing w:line="276" w:lineRule="auto"/>
        <w:rPr>
          <w:rFonts w:ascii="Arial" w:hAnsi="Arial" w:cs="Arial" w:eastAsia="Arial"/>
          <w:sz w:val="24"/>
          <w:szCs w:val="24"/>
        </w:rPr>
      </w:pPr>
      <w:r>
        <w:rPr>
          <w:rFonts w:ascii="Arial" w:hAnsi="Arial" w:cs="Arial" w:eastAsia="Arial"/>
          <w:sz w:val="24"/>
          <w:szCs w:val="24"/>
        </w:rPr>
        <w:t xml:space="preserve">6% </w:t>
      </w:r>
      <w:r/>
    </w:p>
    <w:p>
      <w:pPr>
        <w:ind w:left="1276" w:right="49"/>
        <w:jc w:val="center"/>
        <w:spacing w:after="120" w:line="276" w:lineRule="auto"/>
        <w:rPr>
          <w:rFonts w:ascii="Arial" w:hAnsi="Arial" w:cs="Arial" w:eastAsia="Arial"/>
          <w:sz w:val="24"/>
          <w:szCs w:val="24"/>
        </w:rPr>
      </w:pPr>
      <w:r>
        <w:rPr>
          <w:rFonts w:ascii="Arial" w:hAnsi="Arial" w:cs="Arial" w:eastAsia="Arial"/>
          <w:sz w:val="24"/>
          <w:szCs w:val="24"/>
        </w:rPr>
        <w:t xml:space="preserve">365</w:t>
      </w:r>
      <w:r/>
    </w:p>
    <w:p>
      <w:pPr>
        <w:pStyle w:val="1082"/>
        <w:numPr>
          <w:ilvl w:val="0"/>
          <w:numId w:val="1"/>
        </w:numPr>
        <w:ind w:left="284" w:right="49" w:hanging="284"/>
        <w:keepNext w:val="0"/>
        <w:spacing w:before="6" w:after="6" w:line="360" w:lineRule="auto"/>
        <w:widowControl w:val="off"/>
        <w:tabs>
          <w:tab w:val="left" w:pos="426" w:leader="none"/>
        </w:tabs>
        <w:rPr>
          <w:rFonts w:ascii="Arial" w:hAnsi="Arial"/>
          <w:highlight w:val="yellow"/>
          <w:u w:val="none"/>
        </w:rPr>
      </w:pPr>
      <w:r>
        <w:rPr>
          <w:rFonts w:ascii="Arial" w:hAnsi="Arial"/>
          <w:u w:val="none"/>
        </w:rPr>
        <w:t xml:space="preserve">DAS SANÇÕES</w:t>
      </w:r>
      <w:r>
        <w:rPr>
          <w:rFonts w:ascii="Arial" w:hAnsi="Arial"/>
          <w:spacing w:val="8"/>
          <w:u w:val="none"/>
        </w:rPr>
        <w:t xml:space="preserve"> </w:t>
      </w:r>
      <w:r>
        <w:rPr>
          <w:rFonts w:ascii="Arial" w:hAnsi="Arial"/>
          <w:u w:val="none"/>
        </w:rPr>
        <w:t xml:space="preserve">ADMINISTRATIVAS:</w:t>
      </w:r>
      <w:r/>
    </w:p>
    <w:p>
      <w:pPr>
        <w:pStyle w:val="924"/>
        <w:numPr>
          <w:ilvl w:val="1"/>
          <w:numId w:val="1"/>
        </w:numPr>
        <w:contextualSpacing w:val="0"/>
        <w:ind w:left="1134" w:hanging="708"/>
        <w:jc w:val="both"/>
        <w:spacing w:before="6" w:after="6" w:line="360" w:lineRule="auto"/>
        <w:rPr>
          <w:rFonts w:ascii="Arial" w:hAnsi="Arial" w:cs="Arial" w:eastAsia="Arial"/>
          <w:sz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924"/>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Inexecutar total ou parcialmente qualquer das obrigações assumidas em decorrência da contratação.</w:t>
      </w:r>
      <w:r/>
    </w:p>
    <w:p>
      <w:pPr>
        <w:pStyle w:val="924"/>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Ensejar o retardamento da execução do objeto.</w:t>
      </w:r>
      <w:r/>
    </w:p>
    <w:p>
      <w:pPr>
        <w:pStyle w:val="924"/>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Falhar ou fraudar na execução do contrato.</w:t>
      </w:r>
      <w:r/>
    </w:p>
    <w:p>
      <w:pPr>
        <w:pStyle w:val="924"/>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Comportar-se de modo inidôneo.</w:t>
      </w:r>
      <w:r/>
    </w:p>
    <w:p>
      <w:pPr>
        <w:pStyle w:val="924"/>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Cometer fraude fiscal.</w:t>
      </w:r>
      <w:r/>
    </w:p>
    <w:p>
      <w:pPr>
        <w:pStyle w:val="924"/>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Deixar de apresentar amostras, quando solicitadas.</w:t>
      </w:r>
      <w:r/>
    </w:p>
    <w:p>
      <w:pPr>
        <w:pStyle w:val="924"/>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Deixar de entregar ou apresentar documentação falsa exigida para o certame.</w:t>
      </w:r>
      <w:r/>
    </w:p>
    <w:p>
      <w:pPr>
        <w:pStyle w:val="924"/>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924"/>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moratória de 0,5%</w:t>
      </w:r>
      <w:r>
        <w:rPr>
          <w:rFonts w:ascii="Arial" w:hAnsi="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924"/>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compensatória de 10% (dez por cento) sobre o valor total do contrato, no caso de inexecução total do objeto ou pela recusa em assinar o contrato/ cumprir o estipulado em documento </w:t>
      </w:r>
      <w:r>
        <w:rPr>
          <w:rFonts w:ascii="Arial" w:hAnsi="Arial" w:eastAsia="Arial"/>
          <w:sz w:val="24"/>
          <w:szCs w:val="24"/>
        </w:rPr>
        <w:t xml:space="preserve">substituto .</w:t>
      </w:r>
      <w:r/>
    </w:p>
    <w:p>
      <w:pPr>
        <w:pStyle w:val="924"/>
        <w:numPr>
          <w:ilvl w:val="3"/>
          <w:numId w:val="1"/>
        </w:numPr>
        <w:contextualSpacing w:val="0"/>
        <w:ind w:left="2977" w:hanging="992"/>
        <w:jc w:val="both"/>
        <w:spacing w:before="6" w:after="6" w:line="360" w:lineRule="auto"/>
        <w:rPr>
          <w:rFonts w:ascii="Arial" w:hAnsi="Arial" w:eastAsia="Arial"/>
          <w:sz w:val="24"/>
          <w:szCs w:val="24"/>
        </w:rPr>
      </w:pPr>
      <w:r>
        <w:rPr>
          <w:rFonts w:ascii="Arial" w:hAnsi="Arial" w:eastAsia="Arial"/>
          <w:sz w:val="24"/>
          <w:szCs w:val="24"/>
        </w:rPr>
        <w:t xml:space="preserve">Em caso de inexecução parcial, a multa compensatória, no mesmo percentual do subitem acima, será aplicada de forma proporcional à obrigação inadimplida.</w:t>
      </w:r>
      <w:r/>
    </w:p>
    <w:p>
      <w:pPr>
        <w:pStyle w:val="924"/>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Multa de 0,01%, calculada sobre o valor da proposta apresentada no certame pelo licitante, caso este não apresente amostras, quando solicitadas.</w:t>
      </w:r>
      <w:r/>
    </w:p>
    <w:p>
      <w:pPr>
        <w:pStyle w:val="924"/>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Impedimento de licitar e contratar com órgãos e entidades da União com o consequente descredenciamento no SICAF pelo prazo de até 5 (cinco) anos.</w:t>
      </w:r>
      <w:r/>
    </w:p>
    <w:p>
      <w:pPr>
        <w:pStyle w:val="924"/>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 A penalidade de multa pode ser aplicada cumulativamente com as demais sanções.</w:t>
      </w:r>
      <w:r/>
    </w:p>
    <w:p>
      <w:pPr>
        <w:pStyle w:val="924"/>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ap</w:t>
      </w:r>
      <w:r>
        <w:rPr>
          <w:rFonts w:ascii="Arial" w:hAnsi="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924"/>
        <w:numPr>
          <w:ilvl w:val="2"/>
          <w:numId w:val="1"/>
        </w:numPr>
        <w:contextualSpacing w:val="0"/>
        <w:ind w:left="2127" w:hanging="930"/>
        <w:jc w:val="both"/>
        <w:spacing w:before="6" w:after="6" w:line="360" w:lineRule="auto"/>
        <w:rPr>
          <w:rFonts w:ascii="Arial" w:hAnsi="Arial" w:cs="Arial" w:eastAsia="Arial"/>
          <w:sz w:val="28"/>
          <w:szCs w:val="24"/>
        </w:rPr>
      </w:pPr>
      <w:r>
        <w:rPr>
          <w:rFonts w:ascii="Arial" w:hAnsi="Arial" w:cs="Arial"/>
          <w:sz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924"/>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924"/>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24"/>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decisão, independente da aplicação ou não de sanções, a empresa será cientificada através de um dos meios previstos no subitem </w:t>
      </w:r>
      <w:r>
        <w:rPr>
          <w:rFonts w:ascii="Arial" w:hAnsi="Arial" w:eastAsia="Arial"/>
          <w:b/>
          <w:bCs/>
          <w:sz w:val="24"/>
          <w:szCs w:val="24"/>
        </w:rPr>
        <w:t xml:space="preserve">22.4.1</w:t>
      </w:r>
      <w:r>
        <w:rPr>
          <w:rFonts w:ascii="Arial" w:hAnsi="Arial" w:eastAsia="Arial"/>
          <w:sz w:val="24"/>
          <w:szCs w:val="24"/>
        </w:rPr>
        <w:t xml:space="preserve">, sendo certo que terá outros 5 (cinco) dias úteis para apresentação de recurso à autoridade máxima, que decidirá no prazo máximo de 30 (trinta) dias, podendo ser prorrogado.</w:t>
      </w:r>
      <w:r/>
    </w:p>
    <w:p>
      <w:pPr>
        <w:pStyle w:val="924"/>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924"/>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penalidades serão obrigatoriamente registradas no SICAF. </w:t>
      </w:r>
      <w:r/>
    </w:p>
    <w:p>
      <w:pPr>
        <w:pStyle w:val="924"/>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demais sanções por atos praticados no decorrer da contratação poderão estar previstas no Termo de Referência (Anexo I). </w:t>
      </w:r>
      <w:r/>
    </w:p>
    <w:p>
      <w:pPr>
        <w:pStyle w:val="924"/>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prazo para pagamento de multas será de 05 (cinco) dias úteis a contar da intimação da empresa apenada, sendo possível, a critério da </w:t>
      </w:r>
      <w:r>
        <w:rPr>
          <w:rFonts w:ascii="Arial" w:hAnsi="Arial" w:eastAsia="Arial"/>
          <w:sz w:val="24"/>
          <w:szCs w:val="24"/>
        </w:rPr>
        <w:t xml:space="preserve">Administração, o desconto das respectivas importâncias do valor eventualmente devido. </w:t>
      </w:r>
      <w:r/>
    </w:p>
    <w:p>
      <w:pPr>
        <w:pStyle w:val="924"/>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não pagamento de multas no prazo previsto ensejará a inscrição do respectivo valor como dívida ativa, sujeitando-se a LICITANTE ao processo judicial de execução.</w:t>
      </w:r>
      <w:bookmarkEnd w:id="4"/>
      <w:r/>
      <w:r/>
    </w:p>
    <w:p>
      <w:pPr>
        <w:pStyle w:val="924"/>
        <w:contextualSpacing w:val="0"/>
        <w:ind w:left="1134"/>
        <w:jc w:val="both"/>
        <w:spacing w:before="6" w:after="6" w:line="360" w:lineRule="auto"/>
        <w:rPr>
          <w:rFonts w:ascii="Arial" w:hAnsi="Arial" w:eastAsia="Arial"/>
          <w:sz w:val="24"/>
          <w:szCs w:val="24"/>
        </w:rPr>
      </w:pPr>
      <w:r>
        <w:rPr>
          <w:rFonts w:ascii="Arial" w:hAnsi="Arial" w:eastAsia="Arial"/>
          <w:sz w:val="24"/>
          <w:szCs w:val="24"/>
        </w:rPr>
      </w:r>
      <w:r/>
    </w:p>
    <w:p>
      <w:pPr>
        <w:pStyle w:val="1096"/>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IMPUGNAÇÃO AO EDITAL E DO PEDIDO DE ESCLARECIMENTO: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r>
      <w:r>
        <w:rPr>
          <w:rFonts w:ascii="Arial" w:hAnsi="Arial"/>
          <w:sz w:val="24"/>
          <w:szCs w:val="24"/>
        </w:rPr>
        <w:t xml:space="preserve">A impugnação deverá ser realizada por forma eletrônica, pelo e-mail licitacao.impugnacao@teresopolis.rj.gov.br, ou por petição protocolada através do link: https://teresopolis.1doc.com.br/b.php?pg=wp/wp&amp;itd=5</w:t>
      </w:r>
      <w:r>
        <w:rPr>
          <w:rFonts w:ascii="Arial" w:hAnsi="Arial"/>
          <w:sz w:val="24"/>
          <w:szCs w:val="24"/>
        </w:rPr>
        <w:t xml:space="preserve">.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Acolhida a impugnação, será definida e publicada nova data para a realização do certame.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Os pedidos de </w:t>
      </w:r>
      <w:r>
        <w:rPr>
          <w:rFonts w:ascii="Arial" w:hAnsi="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As impugnações e pedidos de esclarecimentos não suspendem os prazos previstos no certame.</w:t>
      </w:r>
      <w:r/>
    </w:p>
    <w:p>
      <w:pPr>
        <w:numPr>
          <w:ilvl w:val="2"/>
          <w:numId w:val="1"/>
        </w:numPr>
        <w:ind w:left="1985" w:right="49" w:hanging="851"/>
        <w:jc w:val="both"/>
        <w:spacing w:before="57" w:after="57" w:line="360" w:lineRule="auto"/>
        <w:rPr>
          <w:rFonts w:ascii="Arial" w:hAnsi="Arial"/>
          <w:sz w:val="24"/>
          <w:szCs w:val="24"/>
        </w:rPr>
      </w:pPr>
      <w:r>
        <w:rPr>
          <w:rFonts w:ascii="Arial" w:hAnsi="Arial"/>
          <w:sz w:val="24"/>
          <w:szCs w:val="24"/>
        </w:rPr>
        <w:t xml:space="preserve">A concessão de efeito suspensivo à impugnação é medida excepcional e deverá ser motivada pelo pregoeiro, nos autos do processo de licitação.</w:t>
      </w:r>
      <w:r/>
    </w:p>
    <w:p>
      <w:pPr>
        <w:numPr>
          <w:ilvl w:val="1"/>
          <w:numId w:val="1"/>
        </w:numPr>
        <w:ind w:left="1134" w:right="49" w:hanging="708"/>
        <w:jc w:val="both"/>
        <w:spacing w:before="57" w:after="57" w:line="360" w:lineRule="auto"/>
        <w:rPr>
          <w:rFonts w:ascii="Arial" w:hAnsi="Arial"/>
          <w:sz w:val="24"/>
          <w:szCs w:val="24"/>
        </w:rPr>
      </w:pPr>
      <w:r>
        <w:rPr>
          <w:rFonts w:ascii="Arial" w:hAnsi="Arial"/>
          <w:sz w:val="24"/>
          <w:szCs w:val="24"/>
        </w:rPr>
        <w:t xml:space="preserve">As respostas aos pedidos de esclarecimentos serão divulgadas pelo sistema e vincularão os participantes e a administração.</w:t>
      </w:r>
      <w:r/>
    </w:p>
    <w:p>
      <w:pPr>
        <w:ind w:left="1134" w:right="49"/>
        <w:jc w:val="both"/>
        <w:spacing w:before="57" w:after="57" w:line="360" w:lineRule="auto"/>
        <w:rPr>
          <w:rFonts w:ascii="Arial" w:hAnsi="Arial"/>
          <w:sz w:val="24"/>
          <w:szCs w:val="24"/>
        </w:rPr>
      </w:pPr>
      <w:r>
        <w:rPr>
          <w:rFonts w:ascii="Arial" w:hAnsi="Arial"/>
          <w:sz w:val="24"/>
          <w:szCs w:val="24"/>
        </w:rPr>
      </w:r>
      <w:r/>
    </w:p>
    <w:p>
      <w:pPr>
        <w:pStyle w:val="1096"/>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DISPOSIÇÕES GERAIS: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bookmarkStart w:id="5" w:name="_Hlk34388024"/>
      <w:r>
        <w:rPr>
          <w:rFonts w:ascii="Arial" w:hAnsi="Arial"/>
          <w:sz w:val="24"/>
          <w:szCs w:val="24"/>
        </w:rPr>
        <w:t xml:space="preserve">Da sessão pública do Pregão divulgar-se-á Ata no sistema eletrônico.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Não havendo expediente ou ocorrendo qualquer fa</w:t>
      </w:r>
      <w:r>
        <w:rPr>
          <w:rFonts w:ascii="Arial" w:hAnsi="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Todas as referências de tempo no Edital, no aviso e durante a sessão pública observarão o horário de Brasília – DF.</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In</w:t>
      </w:r>
      <w:r>
        <w:rPr>
          <w:rFonts w:ascii="Arial" w:hAnsi="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No julgamento das propostas e da habilitação, o Pregoeiro poder</w:t>
      </w:r>
      <w:r>
        <w:rPr>
          <w:rFonts w:ascii="Arial" w:hAnsi="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 homologação do resultado desta licitação não implicará direito à contratação.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Em caso de divergência entre disposições deste Edital e de seus anexos ou demais peças que compõem o processo, prevalecerá as do Termo de Referência anexo a este edital.</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Edital está disponibilizado, na íntegra, no endereço eletrônico www.licitacao.teresopolis.rj.gov.br, e também poderão ser lidos e/ou obtidos </w:t>
      </w:r>
      <w:r>
        <w:rPr>
          <w:rFonts w:ascii="Arial" w:hAnsi="Arial"/>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pStyle w:val="1096"/>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r>
      <w:r>
        <w:rPr>
          <w:rFonts w:ascii="Arial" w:hAnsi="Arial"/>
          <w:sz w:val="24"/>
          <w:szCs w:val="24"/>
        </w:rPr>
        <w:t xml:space="preserve">T</w:t>
      </w:r>
      <w:r>
        <w:rPr>
          <w:rFonts w:ascii="Arial" w:hAnsi="Arial"/>
          <w:sz w:val="24"/>
          <w:szCs w:val="24"/>
        </w:rPr>
        <w:t xml:space="preserve">odos os requerimentos a serem realizados pelo contratado ou detentor de atas de registro de preços, decorrentes ou não de contratações posteriores à assinatura da ata, deverão ser formalizados através do link: https://teresopolis.1doc.com.br/b.php?pg=wp/wp</w:t>
      </w:r>
      <w:r>
        <w:rPr>
          <w:rFonts w:ascii="Arial" w:hAnsi="Arial"/>
          <w:sz w:val="24"/>
          <w:szCs w:val="24"/>
        </w:rPr>
        <w:t xml:space="preserve">&amp;itd=5</w:t>
      </w:r>
      <w:r>
        <w:rPr>
          <w:rFonts w:ascii="Arial" w:hAnsi="Arial"/>
          <w:sz w:val="24"/>
          <w:szCs w:val="24"/>
        </w:rPr>
        <w:t xml:space="preserve">.</w:t>
      </w:r>
      <w:r/>
    </w:p>
    <w:p>
      <w:pPr>
        <w:pStyle w:val="1096"/>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As demais disposições gerais acerca do serviço/fornecimento estão dispostas no Termo de Referência- Anexo I. </w:t>
      </w:r>
      <w:r/>
    </w:p>
    <w:p>
      <w:pPr>
        <w:pStyle w:val="1096"/>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eastAsia="Arial"/>
          <w:sz w:val="24"/>
          <w:szCs w:val="24"/>
        </w:rPr>
        <w:t xml:space="preserve">O foro da Cidade de Teresópolis, será o único competente para dirimir e julgar toda e qualquer dúvida relativa ao presente procedimento, com exclusão de qualquer outro.</w:t>
      </w:r>
      <w:bookmarkEnd w:id="5"/>
      <w:r/>
      <w:r/>
    </w:p>
    <w:p>
      <w:pPr>
        <w:pStyle w:val="1096"/>
        <w:numPr>
          <w:ilvl w:val="1"/>
          <w:numId w:val="1"/>
        </w:numPr>
        <w:ind w:left="1134" w:right="49" w:hanging="850"/>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São integrantes deste Edital:</w:t>
      </w:r>
      <w:r/>
    </w:p>
    <w:p>
      <w:pPr>
        <w:pStyle w:val="1096"/>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 Termo de Referência.</w:t>
      </w:r>
      <w:r/>
    </w:p>
    <w:p>
      <w:pPr>
        <w:pStyle w:val="1096"/>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 Modelo de Proposta de Preços.</w:t>
      </w:r>
      <w:r/>
    </w:p>
    <w:p>
      <w:pPr>
        <w:pStyle w:val="1096"/>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III Modelo análise econômico-financeiro.</w:t>
      </w:r>
      <w:r/>
    </w:p>
    <w:p>
      <w:pPr>
        <w:pStyle w:val="1096"/>
        <w:ind w:left="1134" w:right="49"/>
        <w:jc w:val="both"/>
        <w:spacing w:before="57" w:after="57" w:line="360" w:lineRule="auto"/>
        <w:tabs>
          <w:tab w:val="left" w:pos="1134" w:leader="none"/>
        </w:tabs>
        <w:rPr>
          <w:rFonts w:ascii="Arial" w:hAnsi="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p>
    <w:p>
      <w:pPr>
        <w:pStyle w:val="1096"/>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w:t>
      </w:r>
      <w:r>
        <w:rPr>
          <w:rFonts w:ascii="Arial" w:hAnsi="Arial" w:eastAsia="Arial"/>
          <w:sz w:val="24"/>
          <w:szCs w:val="24"/>
        </w:rPr>
        <w:tab/>
        <w:t xml:space="preserve">Minuta do contrato.</w:t>
      </w:r>
      <w:r/>
    </w:p>
    <w:p>
      <w:pPr>
        <w:pStyle w:val="1096"/>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VI Modelo de declaração conjunta sobre funcionário inelegível, prazo de entrega e do Artigo 88 da Lei Orgânica Municipal.</w:t>
      </w:r>
      <w:r/>
    </w:p>
    <w:p>
      <w:pPr>
        <w:pStyle w:val="1096"/>
        <w:ind w:left="1134" w:hanging="708"/>
        <w:jc w:val="both"/>
        <w:spacing w:before="57" w:after="57" w:line="276" w:lineRule="auto"/>
        <w:tabs>
          <w:tab w:val="left" w:pos="1134" w:leader="none"/>
        </w:tabs>
        <w:rPr>
          <w:rFonts w:ascii="Arial" w:hAnsi="Arial" w:eastAsia="Arial"/>
          <w:b/>
          <w:sz w:val="24"/>
          <w:szCs w:val="24"/>
        </w:rPr>
      </w:pPr>
      <w:r>
        <w:rPr>
          <w:rFonts w:ascii="Arial" w:hAnsi="Arial" w:eastAsia="Arial"/>
          <w:b/>
          <w:sz w:val="24"/>
          <w:szCs w:val="24"/>
        </w:rPr>
      </w:r>
      <w:r/>
    </w:p>
    <w:p>
      <w:pPr>
        <w:pStyle w:val="1096"/>
        <w:jc w:val="center"/>
        <w:spacing w:before="57" w:after="57" w:line="276" w:lineRule="auto"/>
        <w:rPr>
          <w:rFonts w:ascii="Arial" w:hAnsi="Arial" w:eastAsia="Arial"/>
          <w:b/>
          <w:sz w:val="24"/>
          <w:szCs w:val="24"/>
        </w:rPr>
      </w:pPr>
      <w:r>
        <w:rPr>
          <w:rFonts w:ascii="Arial" w:hAnsi="Arial" w:eastAsia="Arial"/>
          <w:b/>
          <w:sz w:val="24"/>
          <w:szCs w:val="24"/>
        </w:rPr>
        <w:t xml:space="preserve">Teresópolis, 20</w:t>
      </w:r>
      <w:r>
        <w:rPr>
          <w:rFonts w:ascii="Arial" w:hAnsi="Arial" w:eastAsia="Arial"/>
          <w:b/>
          <w:sz w:val="24"/>
          <w:szCs w:val="24"/>
        </w:rPr>
        <w:t xml:space="preserve"> de setembro</w:t>
      </w:r>
      <w:r>
        <w:rPr>
          <w:rFonts w:ascii="Arial" w:hAnsi="Arial" w:eastAsia="Arial"/>
          <w:b/>
          <w:sz w:val="24"/>
          <w:szCs w:val="24"/>
        </w:rPr>
        <w:t xml:space="preserve"> de 2022.</w:t>
      </w:r>
      <w:r/>
    </w:p>
    <w:p>
      <w:pPr>
        <w:pStyle w:val="935"/>
        <w:jc w:val="center"/>
        <w:spacing w:before="57" w:after="57" w:line="276" w:lineRule="auto"/>
        <w:tabs>
          <w:tab w:val="right" w:pos="8080" w:leader="none"/>
        </w:tabs>
        <w:rPr>
          <w:rFonts w:ascii="Arial" w:hAnsi="Arial"/>
          <w:b/>
          <w:sz w:val="24"/>
          <w:szCs w:val="24"/>
        </w:rPr>
      </w:pPr>
      <w:r>
        <w:rPr>
          <w:rFonts w:ascii="Arial" w:hAnsi="Arial"/>
          <w:b/>
          <w:sz w:val="24"/>
          <w:szCs w:val="24"/>
        </w:rPr>
      </w:r>
      <w:r/>
    </w:p>
    <w:p>
      <w:pPr>
        <w:pStyle w:val="935"/>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Satiele</w:t>
      </w:r>
      <w:r>
        <w:rPr>
          <w:rFonts w:ascii="Arial" w:hAnsi="Arial"/>
          <w:b/>
          <w:iCs/>
          <w:color w:val="000000"/>
          <w:sz w:val="24"/>
          <w:szCs w:val="24"/>
        </w:rPr>
        <w:t xml:space="preserve"> de Sequeira Santos</w:t>
      </w:r>
      <w:r/>
    </w:p>
    <w:p>
      <w:pPr>
        <w:pStyle w:val="935"/>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Secretária Municipal de Educação</w:t>
      </w:r>
      <w:r/>
    </w:p>
    <w:p>
      <w:pPr>
        <w:pStyle w:val="935"/>
        <w:jc w:val="center"/>
        <w:spacing w:before="57" w:after="57" w:line="276" w:lineRule="auto"/>
        <w:tabs>
          <w:tab w:val="right" w:pos="8080" w:leader="none"/>
        </w:tabs>
        <w:rPr>
          <w:rFonts w:ascii="Arial" w:hAnsi="Arial"/>
          <w:b/>
          <w:sz w:val="24"/>
          <w:szCs w:val="24"/>
        </w:rPr>
      </w:pPr>
      <w:r>
        <w:rPr>
          <w:rFonts w:ascii="Arial" w:hAnsi="Arial"/>
          <w:b/>
          <w:iCs/>
          <w:color w:val="000000"/>
          <w:sz w:val="24"/>
          <w:szCs w:val="24"/>
        </w:rPr>
        <w:t xml:space="preserve">Matrícula 1.14054-1</w:t>
      </w:r>
      <w:r/>
    </w:p>
    <w:p>
      <w:pPr>
        <w:pStyle w:val="935"/>
        <w:spacing w:before="57" w:after="57" w:line="276" w:lineRule="auto"/>
        <w:tabs>
          <w:tab w:val="left" w:pos="2760" w:leader="none"/>
          <w:tab w:val="right" w:pos="8080" w:leader="none"/>
        </w:tabs>
        <w:rPr>
          <w:rFonts w:ascii="Arial" w:hAnsi="Arial"/>
          <w:b/>
          <w:sz w:val="24"/>
          <w:szCs w:val="24"/>
        </w:rPr>
      </w:pPr>
      <w:r>
        <w:rPr>
          <w:rFonts w:ascii="Arial" w:hAnsi="Arial"/>
          <w:b/>
          <w:sz w:val="24"/>
          <w:szCs w:val="24"/>
        </w:rPr>
        <w:tab/>
      </w:r>
      <w:r/>
    </w:p>
    <w:p>
      <w:pPr>
        <w:pStyle w:val="935"/>
        <w:jc w:val="center"/>
        <w:spacing w:before="57" w:after="57" w:line="276" w:lineRule="auto"/>
        <w:tabs>
          <w:tab w:val="right" w:pos="8080" w:leader="none"/>
        </w:tabs>
        <w:rPr>
          <w:rFonts w:ascii="Arial" w:hAnsi="Arial"/>
          <w:b/>
          <w:sz w:val="24"/>
          <w:szCs w:val="24"/>
        </w:rPr>
      </w:pPr>
      <w:r>
        <w:br w:type="page" w:clear="all"/>
      </w:r>
      <w:r>
        <w:rPr>
          <w:rFonts w:ascii="Arial" w:hAnsi="Arial" w:eastAsia="Arial"/>
          <w:b/>
          <w:sz w:val="24"/>
          <w:szCs w:val="24"/>
          <w:u w:val="single"/>
        </w:rPr>
        <w:t xml:space="preserve">ANEXO I</w:t>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096"/>
        <w:jc w:val="both"/>
        <w:spacing w:before="57" w:after="57" w:line="360" w:lineRule="auto"/>
        <w:rPr>
          <w:rFonts w:ascii="Arial" w:hAnsi="Arial" w:eastAsia="Times New Roman"/>
          <w:sz w:val="24"/>
          <w:szCs w:val="24"/>
        </w:rPr>
      </w:pPr>
      <w:r>
        <w:rPr>
          <w:rFonts w:ascii="Arial" w:hAnsi="Arial" w:eastAsia="Times New Roman"/>
          <w:sz w:val="24"/>
          <w:szCs w:val="24"/>
        </w:rPr>
      </w:r>
      <w:r/>
    </w:p>
    <w:p>
      <w:pPr>
        <w:pStyle w:val="1096"/>
        <w:numPr>
          <w:ilvl w:val="0"/>
          <w:numId w:val="8"/>
        </w:numPr>
        <w:ind w:right="49"/>
        <w:jc w:val="both"/>
        <w:spacing w:before="57" w:after="57" w:line="360" w:lineRule="auto"/>
        <w:tabs>
          <w:tab w:val="left" w:pos="426" w:leader="none"/>
        </w:tabs>
        <w:rPr>
          <w:rFonts w:ascii="Arial" w:hAnsi="Arial"/>
          <w:b/>
          <w:b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bCs/>
          <w:sz w:val="24"/>
          <w:szCs w:val="24"/>
        </w:rPr>
        <w:t xml:space="preserve">INTRODUÇÃO:</w:t>
      </w:r>
      <w:r/>
    </w:p>
    <w:p>
      <w:pPr>
        <w:pStyle w:val="1096"/>
        <w:numPr>
          <w:ilvl w:val="1"/>
          <w:numId w:val="8"/>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Este Termo de Referência foi elaborado em cumprimento ao disposto na Lei Federal nº 10.520/2002, o Decretos Municipais nº 3.674 de 18 de maio de 2009, 5.</w:t>
      </w:r>
      <w:r>
        <w:rPr>
          <w:rFonts w:ascii="Arial" w:hAnsi="Arial" w:eastAsia="Times New Roman"/>
          <w:sz w:val="24"/>
          <w:szCs w:val="24"/>
        </w:rPr>
        <w:t xml:space="preserve">334 de 15 de julho de 2020 e 4.845 de 07 de fevereiro de 2007 e as disposições contidas na Lei Federal no 8.666/93, Lei Complementar Federal nº 123/2006 e suas posteriores modificações, assim como a Lei Complementar Municipal nº 267/2019 e suas alterações.</w:t>
      </w:r>
      <w:r/>
    </w:p>
    <w:p>
      <w:pPr>
        <w:pStyle w:val="1096"/>
        <w:numPr>
          <w:ilvl w:val="0"/>
          <w:numId w:val="8"/>
        </w:numPr>
        <w:ind w:right="49"/>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DO OBJETO:</w:t>
      </w:r>
      <w:r/>
    </w:p>
    <w:p>
      <w:pPr>
        <w:pStyle w:val="1096"/>
        <w:numPr>
          <w:ilvl w:val="1"/>
          <w:numId w:val="8"/>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Registro de preços, pelo período de 12 (doze) meses, p</w:t>
      </w:r>
      <w:r>
        <w:rPr>
          <w:rFonts w:ascii="Arial" w:hAnsi="Arial" w:eastAsia="Times New Roman"/>
          <w:sz w:val="24"/>
          <w:szCs w:val="24"/>
        </w:rPr>
        <w:t xml:space="preserve">ara futura aquisição de SERVIÇO DE BUFFET para as Secretarias Municipais de Educação e de Governo e Coordenação, conforme especificações e condições estabelecidas neste Termo de Referência, mediante procedimento licitatório na modalidade Pregão Eletrônico.</w:t>
      </w:r>
      <w:r/>
    </w:p>
    <w:p>
      <w:pPr>
        <w:pStyle w:val="1096"/>
        <w:numPr>
          <w:ilvl w:val="0"/>
          <w:numId w:val="8"/>
        </w:numPr>
        <w:jc w:val="both"/>
        <w:spacing w:before="57" w:after="57" w:line="360" w:lineRule="auto"/>
        <w:rPr>
          <w:rFonts w:ascii="Arial" w:hAnsi="Arial" w:eastAsia="Times New Roman"/>
          <w:sz w:val="24"/>
          <w:szCs w:val="24"/>
        </w:rPr>
      </w:pPr>
      <w:r>
        <w:rPr>
          <w:rFonts w:ascii="Arial" w:hAnsi="Arial"/>
          <w:b/>
          <w:sz w:val="24"/>
          <w:szCs w:val="24"/>
        </w:rPr>
        <w:t xml:space="preserve">JUSTIFICATIVA:</w:t>
      </w:r>
      <w:r/>
    </w:p>
    <w:p>
      <w:pPr>
        <w:pStyle w:val="1096"/>
        <w:numPr>
          <w:ilvl w:val="1"/>
          <w:numId w:val="8"/>
        </w:numPr>
        <w:ind w:left="993" w:hanging="567"/>
        <w:jc w:val="both"/>
        <w:spacing w:before="57" w:after="57" w:line="360" w:lineRule="auto"/>
        <w:rPr>
          <w:rFonts w:ascii="Arial" w:hAnsi="Arial"/>
          <w:bCs/>
          <w:sz w:val="24"/>
          <w:szCs w:val="24"/>
        </w:rPr>
      </w:pPr>
      <w:r>
        <w:rPr>
          <w:rFonts w:ascii="Arial" w:hAnsi="Arial"/>
          <w:bCs/>
          <w:sz w:val="24"/>
          <w:szCs w:val="24"/>
        </w:rPr>
        <w:t xml:space="preserve">Atender à demanda dos eventos oriunda </w:t>
      </w:r>
      <w:r>
        <w:rPr>
          <w:rFonts w:ascii="Arial" w:hAnsi="Arial"/>
          <w:bCs/>
          <w:sz w:val="24"/>
          <w:szCs w:val="24"/>
        </w:rPr>
        <w:t xml:space="preserve">das atividades das Secretarias Municipais de Educação e de Governo e Coordenação. Os eventos correspondem aos projetos da Secretaria Municipal de Educação durante o ano de 2022 e demais eventos promovidos pela Secretaria Municipal de Governo e Coordenação.</w:t>
      </w:r>
      <w:r/>
    </w:p>
    <w:p>
      <w:pPr>
        <w:pStyle w:val="1096"/>
        <w:ind w:left="993"/>
        <w:jc w:val="both"/>
        <w:spacing w:before="57" w:after="57" w:line="360" w:lineRule="auto"/>
        <w:rPr>
          <w:rFonts w:ascii="Arial" w:hAnsi="Arial"/>
          <w:bCs/>
          <w:sz w:val="24"/>
          <w:szCs w:val="24"/>
        </w:rPr>
      </w:pPr>
      <w:r>
        <w:rPr>
          <w:rFonts w:ascii="Arial" w:hAnsi="Arial"/>
          <w:bCs/>
          <w:sz w:val="24"/>
          <w:szCs w:val="24"/>
        </w:rPr>
        <w:t xml:space="preserve">A quantidade estimada foi calculada conforme demonstrativo constante do Estudo Técnico Preliminar - ETP, não estando as secretarias participantes obrigadas a adquirir a totalidade dos itens registrados em ARP.</w:t>
      </w:r>
      <w:r/>
    </w:p>
    <w:p>
      <w:pPr>
        <w:pStyle w:val="1096"/>
        <w:ind w:left="993"/>
        <w:jc w:val="both"/>
        <w:spacing w:before="57" w:after="57" w:line="360" w:lineRule="auto"/>
        <w:rPr>
          <w:rFonts w:ascii="Arial" w:hAnsi="Arial"/>
          <w:bCs/>
          <w:sz w:val="24"/>
          <w:szCs w:val="24"/>
        </w:rPr>
      </w:pPr>
      <w:r>
        <w:rPr>
          <w:rFonts w:ascii="Arial" w:hAnsi="Arial"/>
          <w:bCs/>
          <w:sz w:val="24"/>
          <w:szCs w:val="24"/>
        </w:rPr>
        <w:t xml:space="preserve">A opção de contratar em registro de pr</w:t>
      </w:r>
      <w:r>
        <w:rPr>
          <w:rFonts w:ascii="Arial" w:hAnsi="Arial"/>
          <w:bCs/>
          <w:sz w:val="24"/>
          <w:szCs w:val="24"/>
        </w:rPr>
        <w:t xml:space="preserve">eços, além da inerente a aquisição de mercadoria perecível (alimentos prontos) cuja entrega deve ser feita na data da realização do evento, atende a necessidade pública em razão da conveniência, eventualidade e pela imprevisibilidade da demanda do objeto, </w:t>
      </w:r>
      <w:r>
        <w:rPr>
          <w:rFonts w:ascii="Arial" w:hAnsi="Arial"/>
          <w:bCs/>
          <w:sz w:val="24"/>
          <w:szCs w:val="24"/>
        </w:rPr>
        <w:t xml:space="preserve">o que impedem a definição prévia do quantitativo exato a ser demandado pela Administração.</w:t>
      </w:r>
      <w:r/>
    </w:p>
    <w:p>
      <w:pPr>
        <w:pStyle w:val="1096"/>
        <w:ind w:left="993"/>
        <w:jc w:val="both"/>
        <w:spacing w:before="57" w:after="57" w:line="360" w:lineRule="auto"/>
        <w:rPr>
          <w:rFonts w:ascii="Arial" w:hAnsi="Arial"/>
          <w:bCs/>
          <w:sz w:val="24"/>
          <w:szCs w:val="24"/>
        </w:rPr>
      </w:pPr>
      <w:r>
        <w:rPr>
          <w:rFonts w:ascii="Arial" w:hAnsi="Arial"/>
          <w:bCs/>
          <w:sz w:val="24"/>
          <w:szCs w:val="24"/>
        </w:rPr>
        <w:t xml:space="preserve">Deve-se reiterar, porém, que a Administração não estará obrigada a realizar integralmente a despesa estimada, visto tratar-se de SRP, devendo aquela ser considerada apenas como previsão.</w:t>
      </w:r>
      <w:r/>
    </w:p>
    <w:p>
      <w:pPr>
        <w:numPr>
          <w:ilvl w:val="0"/>
          <w:numId w:val="8"/>
        </w:numPr>
        <w:jc w:val="both"/>
        <w:spacing w:before="57" w:after="57" w:line="360" w:lineRule="auto"/>
        <w:rPr>
          <w:rFonts w:ascii="Arial" w:hAnsi="Arial"/>
          <w:b/>
          <w:sz w:val="24"/>
          <w:szCs w:val="24"/>
        </w:rPr>
      </w:pPr>
      <w:r>
        <w:rPr>
          <w:rFonts w:ascii="Arial" w:hAnsi="Arial"/>
          <w:b/>
          <w:sz w:val="24"/>
          <w:szCs w:val="24"/>
        </w:rPr>
        <w:t xml:space="preserve">ESPECIFICAÇÕES DOS MATERIAIS E SUAS QUANTIDADES:</w:t>
      </w:r>
      <w:r/>
    </w:p>
    <w:p>
      <w:pPr>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ESPECIFICAÇÕES E QUANTIDADE TOTAL:</w:t>
      </w:r>
      <w:r/>
    </w:p>
    <w:p>
      <w:pPr>
        <w:numPr>
          <w:ilvl w:val="2"/>
          <w:numId w:val="8"/>
        </w:numPr>
        <w:ind w:left="1701" w:hanging="708"/>
        <w:jc w:val="both"/>
        <w:spacing w:before="57" w:after="57" w:line="360" w:lineRule="auto"/>
        <w:rPr>
          <w:rFonts w:ascii="Arial" w:hAnsi="Arial"/>
          <w:sz w:val="24"/>
          <w:szCs w:val="24"/>
        </w:rPr>
      </w:pPr>
      <w:r>
        <w:rPr>
          <w:rFonts w:ascii="Arial" w:hAnsi="Arial"/>
          <w:sz w:val="24"/>
          <w:szCs w:val="24"/>
        </w:rPr>
        <w:t xml:space="preserve">O estimativo do quantitativo foi definido a partir do ETP em anexo.</w:t>
      </w:r>
      <w:r/>
    </w:p>
    <w:p>
      <w:pPr>
        <w:ind w:left="1701"/>
        <w:jc w:val="both"/>
        <w:spacing w:before="57" w:after="57" w:line="360" w:lineRule="auto"/>
        <w:rPr>
          <w:rFonts w:ascii="Arial" w:hAnsi="Arial"/>
          <w:sz w:val="24"/>
          <w:szCs w:val="24"/>
        </w:rPr>
      </w:pPr>
      <w:r>
        <w:rPr>
          <w:rFonts w:ascii="Arial" w:hAnsi="Arial"/>
          <w:sz w:val="24"/>
          <w:szCs w:val="24"/>
        </w:rPr>
      </w:r>
      <w:r/>
    </w:p>
    <w:tbl>
      <w:tblPr>
        <w:tblW w:w="9498" w:type="dxa"/>
        <w:tblInd w:w="-289" w:type="dxa"/>
        <w:tblLayout w:type="fixed"/>
        <w:tblLook w:val="04A0" w:firstRow="1" w:lastRow="0" w:firstColumn="1" w:lastColumn="0" w:noHBand="0" w:noVBand="1"/>
      </w:tblPr>
      <w:tblGrid>
        <w:gridCol w:w="851"/>
        <w:gridCol w:w="1129"/>
        <w:gridCol w:w="993"/>
        <w:gridCol w:w="859"/>
        <w:gridCol w:w="2551"/>
        <w:gridCol w:w="1417"/>
        <w:gridCol w:w="1697"/>
      </w:tblGrid>
      <w:tr>
        <w:trPr>
          <w:trHeight w:val="255"/>
        </w:trPr>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b/>
                <w:color w:val="000000"/>
                <w:sz w:val="20"/>
              </w:rPr>
            </w:pPr>
            <w:r>
              <w:rPr>
                <w:rFonts w:ascii="Arial" w:hAnsi="Arial" w:cs="Arial"/>
                <w:b/>
                <w:color w:val="000000"/>
                <w:sz w:val="20"/>
              </w:rPr>
              <w:t xml:space="preserve">ITEM</w:t>
            </w:r>
            <w:r>
              <w:rPr>
                <w:sz w:val="20"/>
              </w:rPr>
            </w:r>
            <w:r/>
          </w:p>
        </w:tc>
        <w:tc>
          <w:tcPr>
            <w:shd w:val="clear" w:color="auto" w:fill="c4bc96" w:themeFill="background2" w:themeFillShade="BF"/>
            <w:tcBorders>
              <w:top w:val="single" w:color="auto" w:sz="4" w:space="0"/>
              <w:left w:val="none" w:color="000000" w:sz="4" w:space="0"/>
              <w:bottom w:val="single" w:color="auto" w:sz="4" w:space="0"/>
              <w:right w:val="single" w:color="auto" w:sz="4" w:space="0"/>
            </w:tcBorders>
            <w:tcW w:w="1129" w:type="dxa"/>
            <w:vAlign w:val="center"/>
            <w:textDirection w:val="lrTb"/>
            <w:noWrap w:val="false"/>
          </w:tcPr>
          <w:p>
            <w:pPr>
              <w:jc w:val="center"/>
              <w:spacing w:line="276" w:lineRule="auto"/>
              <w:rPr>
                <w:rFonts w:ascii="Arial" w:hAnsi="Arial" w:cs="Arial"/>
                <w:b/>
                <w:color w:val="000000"/>
                <w:sz w:val="20"/>
              </w:rPr>
            </w:pPr>
            <w:r>
              <w:rPr>
                <w:rFonts w:ascii="Arial" w:hAnsi="Arial" w:cs="Arial"/>
                <w:b/>
                <w:color w:val="000000"/>
                <w:sz w:val="20"/>
              </w:rPr>
              <w:t xml:space="preserve">CÓDIGO</w:t>
            </w:r>
            <w:r>
              <w:rPr>
                <w:sz w:val="20"/>
              </w:rPr>
            </w:r>
            <w:r/>
          </w:p>
        </w:tc>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993" w:type="dxa"/>
            <w:vAlign w:val="center"/>
            <w:textDirection w:val="lrTb"/>
            <w:noWrap/>
          </w:tcPr>
          <w:p>
            <w:pPr>
              <w:jc w:val="center"/>
              <w:spacing w:line="276" w:lineRule="auto"/>
              <w:rPr>
                <w:rFonts w:ascii="Arial" w:hAnsi="Arial" w:cs="Arial"/>
                <w:b/>
                <w:color w:val="000000"/>
                <w:sz w:val="20"/>
              </w:rPr>
            </w:pPr>
            <w:r>
              <w:rPr>
                <w:rFonts w:ascii="Arial" w:hAnsi="Arial" w:cs="Arial"/>
                <w:b/>
                <w:color w:val="000000"/>
                <w:sz w:val="20"/>
              </w:rPr>
              <w:t xml:space="preserve">QUANT</w:t>
            </w:r>
            <w:r>
              <w:rPr>
                <w:sz w:val="20"/>
              </w:rPr>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859" w:type="dxa"/>
            <w:vAlign w:val="center"/>
            <w:textDirection w:val="lrTb"/>
            <w:noWrap/>
          </w:tcPr>
          <w:p>
            <w:pPr>
              <w:jc w:val="center"/>
              <w:spacing w:line="276" w:lineRule="auto"/>
              <w:rPr>
                <w:rFonts w:ascii="Arial" w:hAnsi="Arial" w:cs="Arial"/>
                <w:b/>
                <w:color w:val="000000"/>
                <w:sz w:val="20"/>
              </w:rPr>
            </w:pPr>
            <w:r>
              <w:rPr>
                <w:rFonts w:ascii="Arial" w:hAnsi="Arial" w:cs="Arial"/>
                <w:b/>
                <w:color w:val="000000"/>
                <w:sz w:val="20"/>
              </w:rPr>
              <w:t xml:space="preserve">UNI</w:t>
            </w:r>
            <w:r>
              <w:rPr>
                <w:sz w:val="20"/>
              </w:rPr>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2551" w:type="dxa"/>
            <w:vAlign w:val="center"/>
            <w:textDirection w:val="lrTb"/>
            <w:noWrap w:val="false"/>
          </w:tcPr>
          <w:p>
            <w:pPr>
              <w:jc w:val="center"/>
              <w:spacing w:line="276" w:lineRule="auto"/>
              <w:rPr>
                <w:rFonts w:ascii="Arial" w:hAnsi="Arial" w:cs="Arial"/>
                <w:b/>
                <w:color w:val="000000"/>
                <w:sz w:val="20"/>
              </w:rPr>
            </w:pPr>
            <w:r>
              <w:rPr>
                <w:rFonts w:ascii="Arial" w:hAnsi="Arial" w:cs="Arial"/>
                <w:b/>
                <w:color w:val="000000"/>
                <w:sz w:val="20"/>
              </w:rPr>
              <w:t xml:space="preserve">DESCRIÇÃO</w:t>
            </w:r>
            <w:r>
              <w:rPr>
                <w:sz w:val="20"/>
              </w:rPr>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417" w:type="dxa"/>
            <w:vAlign w:val="center"/>
            <w:textDirection w:val="lrTb"/>
            <w:noWrap w:val="false"/>
          </w:tcPr>
          <w:p>
            <w:pPr>
              <w:jc w:val="center"/>
              <w:spacing w:line="276" w:lineRule="auto"/>
              <w:rPr>
                <w:rFonts w:ascii="Arial" w:hAnsi="Arial" w:cs="Arial"/>
                <w:b/>
                <w:color w:val="000000"/>
                <w:sz w:val="20"/>
              </w:rPr>
            </w:pPr>
            <w:r>
              <w:rPr>
                <w:rFonts w:ascii="Arial" w:hAnsi="Arial" w:cs="Arial" w:eastAsia="Arial"/>
                <w:b/>
                <w:sz w:val="20"/>
                <w:lang w:eastAsia="pt-BR"/>
              </w:rPr>
              <mc:AlternateContent>
                <mc:Choice Requires="wpg">
                  <w:drawing>
                    <wp:anchor xmlns:wp="http://schemas.openxmlformats.org/drawingml/2006/wordprocessingDrawing" distT="0" distB="0" distL="114300" distR="114300" simplePos="0" relativeHeight="251661312"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7"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20"/>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1312;o:allowoverlap:true;o:allowincell:true;mso-position-horizontal-relative:page;margin-left:-409.5pt;mso-position-horizontal:absolute;mso-position-vertical-relative:margin;margin-top:-35049.4pt;mso-position-vertical:absolute;width:575.2pt;height:846.8pt;" stroked="f">
                      <v:path textboxrect="0,0,0,0"/>
                      <v:imagedata r:id="rId20" o:title=""/>
                    </v:shape>
                  </w:pict>
                </mc:Fallback>
              </mc:AlternateContent>
            </w:r>
            <w:r>
              <w:rPr>
                <w:rFonts w:ascii="Arial" w:hAnsi="Arial" w:cs="Arial"/>
                <w:b/>
                <w:color w:val="000000"/>
                <w:sz w:val="20"/>
              </w:rPr>
              <w:t xml:space="preserve">VALOR UNITARIO</w:t>
            </w:r>
            <w:r>
              <w:rPr>
                <w:sz w:val="20"/>
              </w:rPr>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697" w:type="dxa"/>
            <w:vAlign w:val="center"/>
            <w:textDirection w:val="lrTb"/>
            <w:noWrap w:val="false"/>
          </w:tcPr>
          <w:p>
            <w:pPr>
              <w:jc w:val="center"/>
              <w:spacing w:line="276" w:lineRule="auto"/>
              <w:rPr>
                <w:rFonts w:ascii="Arial" w:hAnsi="Arial" w:cs="Arial"/>
                <w:b/>
                <w:color w:val="000000"/>
                <w:sz w:val="20"/>
              </w:rPr>
            </w:pPr>
            <w:r>
              <w:rPr>
                <w:rFonts w:ascii="Arial" w:hAnsi="Arial" w:cs="Arial"/>
                <w:b/>
                <w:color w:val="000000"/>
                <w:sz w:val="20"/>
              </w:rPr>
              <w:t xml:space="preserve">VALOR TOTAL</w:t>
            </w:r>
            <w:r>
              <w:rPr>
                <w:sz w:val="20"/>
              </w:rPr>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0"/>
                <w:szCs w:val="24"/>
              </w:rPr>
            </w:pPr>
            <w:r>
              <w:rPr>
                <w:rFonts w:ascii="Arial" w:hAnsi="Arial" w:cs="Arial"/>
                <w:sz w:val="20"/>
                <w:szCs w:val="24"/>
              </w:rPr>
              <w:t xml:space="preserve">1</w:t>
            </w:r>
            <w:r>
              <w:rPr>
                <w:sz w:val="20"/>
              </w:rPr>
            </w:r>
            <w:r/>
          </w:p>
        </w:tc>
        <w:tc>
          <w:tcPr>
            <w:tcBorders>
              <w:top w:val="single" w:color="auto" w:sz="4" w:space="0"/>
              <w:left w:val="none" w:color="000000" w:sz="4" w:space="0"/>
              <w:bottom w:val="single" w:color="auto" w:sz="4" w:space="0"/>
              <w:right w:val="single" w:color="auto" w:sz="4" w:space="0"/>
            </w:tcBorders>
            <w:tcW w:w="1129" w:type="dxa"/>
            <w:vAlign w:val="center"/>
            <w:textDirection w:val="lrTb"/>
            <w:noWrap w:val="false"/>
          </w:tcPr>
          <w:p>
            <w:pPr>
              <w:ind w:left="87" w:hanging="87"/>
              <w:jc w:val="center"/>
              <w:spacing w:line="276" w:lineRule="auto"/>
              <w:rPr>
                <w:rFonts w:ascii="Arial" w:hAnsi="Arial" w:cs="Arial"/>
                <w:color w:val="000000"/>
                <w:sz w:val="20"/>
                <w:szCs w:val="24"/>
              </w:rPr>
            </w:pPr>
            <w:r>
              <w:rPr>
                <w:rFonts w:ascii="Arial" w:hAnsi="Arial" w:cs="Arial"/>
                <w:sz w:val="20"/>
                <w:szCs w:val="24"/>
              </w:rPr>
              <w:t xml:space="preserve">12807</w:t>
            </w:r>
            <w:r>
              <w:rPr>
                <w:sz w:val="20"/>
              </w:rPr>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20"/>
                <w:szCs w:val="24"/>
              </w:rPr>
            </w:pPr>
            <w:r>
              <w:rPr>
                <w:rFonts w:ascii="Arial" w:hAnsi="Arial" w:cs="Arial"/>
                <w:sz w:val="20"/>
                <w:szCs w:val="24"/>
              </w:rPr>
              <w:t xml:space="preserve">6.250</w:t>
            </w:r>
            <w:r>
              <w:rPr>
                <w:sz w:val="20"/>
              </w:rPr>
            </w:r>
            <w:r/>
          </w:p>
        </w:tc>
        <w:tc>
          <w:tcPr>
            <w:shd w:val="clear" w:color="auto" w:fill="auto"/>
            <w:tcBorders>
              <w:top w:val="single" w:color="auto" w:sz="4" w:space="0"/>
              <w:left w:val="none" w:color="000000" w:sz="4" w:space="0"/>
              <w:bottom w:val="single" w:color="auto" w:sz="4" w:space="0"/>
              <w:right w:val="single" w:color="auto" w:sz="4" w:space="0"/>
            </w:tcBorders>
            <w:tcW w:w="859" w:type="dxa"/>
            <w:vAlign w:val="center"/>
            <w:textDirection w:val="lrTb"/>
            <w:noWrap/>
          </w:tcPr>
          <w:p>
            <w:pPr>
              <w:jc w:val="center"/>
              <w:spacing w:line="276" w:lineRule="auto"/>
              <w:rPr>
                <w:rFonts w:ascii="Arial" w:hAnsi="Arial" w:cs="Arial"/>
                <w:color w:val="000000"/>
                <w:sz w:val="20"/>
                <w:szCs w:val="24"/>
              </w:rPr>
            </w:pPr>
            <w:r>
              <w:rPr>
                <w:rFonts w:ascii="Arial" w:hAnsi="Arial" w:cs="Arial"/>
                <w:sz w:val="20"/>
                <w:szCs w:val="24"/>
              </w:rPr>
              <w:t xml:space="preserve">UNI</w:t>
            </w:r>
            <w:r>
              <w:rPr>
                <w:sz w:val="20"/>
              </w:rPr>
            </w:r>
            <w:r/>
          </w:p>
        </w:tc>
        <w:tc>
          <w:tcPr>
            <w:tcBorders>
              <w:top w:val="single" w:color="auto" w:sz="4" w:space="0"/>
              <w:left w:val="none" w:color="000000" w:sz="4" w:space="0"/>
              <w:bottom w:val="single" w:color="auto" w:sz="4" w:space="0"/>
              <w:right w:val="single" w:color="auto" w:sz="4" w:space="0"/>
            </w:tcBorders>
            <w:tcW w:w="2551" w:type="dxa"/>
            <w:vAlign w:val="center"/>
            <w:textDirection w:val="lrTb"/>
            <w:noWrap w:val="false"/>
          </w:tcPr>
          <w:p>
            <w:pPr>
              <w:jc w:val="both"/>
              <w:rPr>
                <w:rFonts w:ascii="Arial" w:hAnsi="Arial" w:cs="Arial"/>
                <w:sz w:val="20"/>
                <w:szCs w:val="24"/>
              </w:rPr>
            </w:pPr>
            <w:r>
              <w:rPr>
                <w:rFonts w:ascii="Arial" w:hAnsi="Arial" w:cs="Arial"/>
                <w:sz w:val="20"/>
                <w:szCs w:val="24"/>
              </w:rPr>
              <w:t xml:space="preserve">COFFEE BREAK Tipo 1</w:t>
            </w:r>
            <w:r>
              <w:rPr>
                <w:sz w:val="20"/>
              </w:rPr>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sz w:val="20"/>
                <w:szCs w:val="24"/>
              </w:rPr>
            </w:pPr>
            <w:r>
              <w:rPr>
                <w:rFonts w:ascii="Arial" w:hAnsi="Arial" w:cs="Arial"/>
                <w:sz w:val="20"/>
                <w:szCs w:val="24"/>
              </w:rPr>
              <w:t xml:space="preserve">R$25,67</w:t>
            </w:r>
            <w:r>
              <w:rPr>
                <w:sz w:val="20"/>
              </w:rPr>
            </w:r>
            <w:r/>
          </w:p>
        </w:tc>
        <w:tc>
          <w:tcPr>
            <w:tcBorders>
              <w:top w:val="single" w:color="auto" w:sz="4" w:space="0"/>
              <w:left w:val="none" w:color="000000" w:sz="4" w:space="0"/>
              <w:bottom w:val="single" w:color="auto" w:sz="4" w:space="0"/>
              <w:right w:val="single" w:color="auto" w:sz="4" w:space="0"/>
            </w:tcBorders>
            <w:tcW w:w="1697" w:type="dxa"/>
            <w:vAlign w:val="center"/>
            <w:textDirection w:val="lrTb"/>
            <w:noWrap w:val="false"/>
          </w:tcPr>
          <w:p>
            <w:pPr>
              <w:rPr>
                <w:sz w:val="20"/>
              </w:rPr>
            </w:pPr>
            <w:r>
              <w:rPr>
                <w:sz w:val="20"/>
              </w:rPr>
              <w:t xml:space="preserve">R$ 160.437,50</w:t>
            </w:r>
            <w:r>
              <w:rPr>
                <w:sz w:val="20"/>
              </w:rPr>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0"/>
                <w:szCs w:val="24"/>
              </w:rPr>
            </w:pPr>
            <w:r>
              <w:rPr>
                <w:rFonts w:ascii="Arial" w:hAnsi="Arial" w:cs="Arial"/>
                <w:sz w:val="20"/>
                <w:szCs w:val="24"/>
              </w:rPr>
              <w:t xml:space="preserve">2</w:t>
            </w:r>
            <w:r>
              <w:rPr>
                <w:sz w:val="20"/>
              </w:rPr>
            </w:r>
            <w:r/>
          </w:p>
        </w:tc>
        <w:tc>
          <w:tcPr>
            <w:tcBorders>
              <w:top w:val="single" w:color="auto" w:sz="4" w:space="0"/>
              <w:left w:val="none" w:color="000000" w:sz="4" w:space="0"/>
              <w:bottom w:val="single" w:color="auto" w:sz="4" w:space="0"/>
              <w:right w:val="single" w:color="auto" w:sz="4" w:space="0"/>
            </w:tcBorders>
            <w:tcW w:w="1129" w:type="dxa"/>
            <w:vAlign w:val="center"/>
            <w:textDirection w:val="lrTb"/>
            <w:noWrap w:val="false"/>
          </w:tcPr>
          <w:p>
            <w:pPr>
              <w:ind w:left="87" w:hanging="87"/>
              <w:jc w:val="center"/>
              <w:spacing w:line="276" w:lineRule="auto"/>
              <w:rPr>
                <w:rFonts w:ascii="Arial" w:hAnsi="Arial" w:cs="Arial"/>
                <w:sz w:val="20"/>
                <w:szCs w:val="24"/>
              </w:rPr>
            </w:pPr>
            <w:r>
              <w:rPr>
                <w:rFonts w:ascii="Arial" w:hAnsi="Arial" w:cs="Arial"/>
                <w:sz w:val="20"/>
                <w:szCs w:val="24"/>
              </w:rPr>
              <w:t xml:space="preserve">12087</w:t>
            </w:r>
            <w:r>
              <w:rPr>
                <w:sz w:val="20"/>
              </w:rPr>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20"/>
                <w:szCs w:val="24"/>
              </w:rPr>
            </w:pPr>
            <w:r>
              <w:rPr>
                <w:rFonts w:ascii="Arial" w:hAnsi="Arial" w:cs="Arial"/>
                <w:sz w:val="20"/>
                <w:szCs w:val="24"/>
              </w:rPr>
              <w:t xml:space="preserve">2.550</w:t>
            </w:r>
            <w:r>
              <w:rPr>
                <w:sz w:val="20"/>
              </w:rPr>
            </w:r>
            <w:r/>
          </w:p>
        </w:tc>
        <w:tc>
          <w:tcPr>
            <w:shd w:val="clear" w:color="auto" w:fill="auto"/>
            <w:tcBorders>
              <w:top w:val="single" w:color="auto" w:sz="4" w:space="0"/>
              <w:left w:val="none" w:color="000000" w:sz="4" w:space="0"/>
              <w:bottom w:val="single" w:color="auto" w:sz="4" w:space="0"/>
              <w:right w:val="single" w:color="auto" w:sz="4" w:space="0"/>
            </w:tcBorders>
            <w:tcW w:w="859" w:type="dxa"/>
            <w:vAlign w:val="center"/>
            <w:textDirection w:val="lrTb"/>
            <w:noWrap/>
          </w:tcPr>
          <w:p>
            <w:pPr>
              <w:jc w:val="center"/>
              <w:spacing w:line="276" w:lineRule="auto"/>
              <w:rPr>
                <w:rFonts w:ascii="Arial" w:hAnsi="Arial" w:cs="Arial"/>
                <w:color w:val="000000"/>
                <w:sz w:val="20"/>
                <w:szCs w:val="24"/>
              </w:rPr>
            </w:pPr>
            <w:r>
              <w:rPr>
                <w:rFonts w:ascii="Arial" w:hAnsi="Arial" w:cs="Arial"/>
                <w:sz w:val="20"/>
                <w:szCs w:val="24"/>
              </w:rPr>
              <w:t xml:space="preserve">UNI</w:t>
            </w:r>
            <w:r>
              <w:rPr>
                <w:sz w:val="20"/>
              </w:rPr>
            </w:r>
            <w:r/>
          </w:p>
        </w:tc>
        <w:tc>
          <w:tcPr>
            <w:tcBorders>
              <w:top w:val="single" w:color="auto" w:sz="4" w:space="0"/>
              <w:left w:val="none" w:color="000000" w:sz="4" w:space="0"/>
              <w:bottom w:val="single" w:color="auto" w:sz="4" w:space="0"/>
              <w:right w:val="single" w:color="auto" w:sz="4" w:space="0"/>
            </w:tcBorders>
            <w:tcW w:w="2551" w:type="dxa"/>
            <w:vAlign w:val="center"/>
            <w:textDirection w:val="lrTb"/>
            <w:noWrap w:val="false"/>
          </w:tcPr>
          <w:p>
            <w:pPr>
              <w:jc w:val="both"/>
              <w:rPr>
                <w:rFonts w:ascii="Arial" w:hAnsi="Arial" w:cs="Arial"/>
                <w:sz w:val="20"/>
                <w:szCs w:val="24"/>
              </w:rPr>
            </w:pPr>
            <w:r>
              <w:rPr>
                <w:rFonts w:ascii="Arial" w:hAnsi="Arial" w:cs="Arial"/>
                <w:sz w:val="20"/>
                <w:szCs w:val="24"/>
              </w:rPr>
              <w:t xml:space="preserve">COFFEE BREAK Tipo 2</w:t>
            </w:r>
            <w:r>
              <w:rPr>
                <w:sz w:val="20"/>
              </w:rPr>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0"/>
                <w:szCs w:val="24"/>
              </w:rPr>
            </w:pPr>
            <w:r>
              <w:rPr>
                <w:rFonts w:ascii="Arial" w:hAnsi="Arial" w:cs="Arial"/>
                <w:color w:val="000000"/>
                <w:sz w:val="20"/>
                <w:szCs w:val="24"/>
              </w:rPr>
              <w:t xml:space="preserve">R$30,33</w:t>
            </w:r>
            <w:r>
              <w:rPr>
                <w:sz w:val="20"/>
              </w:rPr>
            </w:r>
            <w:r/>
          </w:p>
        </w:tc>
        <w:tc>
          <w:tcPr>
            <w:tcBorders>
              <w:top w:val="single" w:color="auto" w:sz="4" w:space="0"/>
              <w:left w:val="none" w:color="000000" w:sz="4" w:space="0"/>
              <w:bottom w:val="single" w:color="auto" w:sz="4" w:space="0"/>
              <w:right w:val="single" w:color="auto" w:sz="4" w:space="0"/>
            </w:tcBorders>
            <w:tcW w:w="1697" w:type="dxa"/>
            <w:vAlign w:val="center"/>
            <w:textDirection w:val="lrTb"/>
            <w:noWrap w:val="false"/>
          </w:tcPr>
          <w:p>
            <w:pPr>
              <w:rPr>
                <w:sz w:val="20"/>
              </w:rPr>
            </w:pPr>
            <w:r>
              <w:rPr>
                <w:sz w:val="20"/>
              </w:rPr>
              <w:t xml:space="preserve">R$ 77.341,50</w:t>
            </w:r>
            <w:r>
              <w:rPr>
                <w:sz w:val="20"/>
              </w:rPr>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rPr>
                <w:rFonts w:ascii="Arial" w:hAnsi="Arial" w:cs="Arial"/>
                <w:sz w:val="20"/>
                <w:szCs w:val="24"/>
              </w:rPr>
            </w:pPr>
            <w:r>
              <w:rPr>
                <w:rFonts w:ascii="Arial" w:hAnsi="Arial" w:cs="Arial"/>
                <w:sz w:val="20"/>
                <w:szCs w:val="24"/>
                <w:lang w:val="en-US"/>
              </w:rPr>
              <w:t xml:space="preserve">3</w:t>
            </w:r>
            <w:r>
              <w:rPr>
                <w:sz w:val="20"/>
              </w:rPr>
            </w:r>
            <w:r/>
          </w:p>
        </w:tc>
        <w:tc>
          <w:tcPr>
            <w:tcBorders>
              <w:top w:val="single" w:color="auto" w:sz="4" w:space="0"/>
              <w:left w:val="none" w:color="000000" w:sz="4" w:space="0"/>
              <w:bottom w:val="single" w:color="auto" w:sz="4" w:space="0"/>
              <w:right w:val="single" w:color="auto" w:sz="4" w:space="0"/>
            </w:tcBorders>
            <w:tcW w:w="1129" w:type="dxa"/>
            <w:vAlign w:val="center"/>
            <w:textDirection w:val="lrTb"/>
            <w:noWrap w:val="false"/>
          </w:tcPr>
          <w:p>
            <w:pPr>
              <w:ind w:left="87" w:hanging="87"/>
              <w:jc w:val="center"/>
              <w:spacing w:line="276" w:lineRule="auto"/>
              <w:rPr>
                <w:rFonts w:ascii="Arial" w:hAnsi="Arial" w:cs="Arial"/>
                <w:bCs/>
                <w:color w:val="000000"/>
                <w:sz w:val="20"/>
                <w:szCs w:val="24"/>
                <w:shd w:val="clear" w:color="auto" w:fill="ffffff"/>
              </w:rPr>
            </w:pPr>
            <w:r>
              <w:rPr>
                <w:rFonts w:ascii="Arial" w:hAnsi="Arial" w:cs="Arial"/>
                <w:sz w:val="20"/>
                <w:szCs w:val="24"/>
              </w:rPr>
              <w:t xml:space="preserve">12087</w:t>
            </w:r>
            <w:r>
              <w:rPr>
                <w:sz w:val="20"/>
              </w:rPr>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20"/>
                <w:szCs w:val="24"/>
              </w:rPr>
            </w:pPr>
            <w:r>
              <w:rPr>
                <w:rFonts w:ascii="Arial" w:hAnsi="Arial" w:cs="Arial"/>
                <w:sz w:val="20"/>
                <w:szCs w:val="24"/>
              </w:rPr>
              <w:t xml:space="preserve">300</w:t>
            </w:r>
            <w:r>
              <w:rPr>
                <w:sz w:val="20"/>
              </w:rPr>
            </w:r>
            <w:r/>
          </w:p>
        </w:tc>
        <w:tc>
          <w:tcPr>
            <w:shd w:val="clear" w:color="auto" w:fill="auto"/>
            <w:tcBorders>
              <w:top w:val="single" w:color="auto" w:sz="4" w:space="0"/>
              <w:left w:val="none" w:color="000000" w:sz="4" w:space="0"/>
              <w:bottom w:val="single" w:color="auto" w:sz="4" w:space="0"/>
              <w:right w:val="single" w:color="auto" w:sz="4" w:space="0"/>
            </w:tcBorders>
            <w:tcW w:w="859" w:type="dxa"/>
            <w:vAlign w:val="center"/>
            <w:textDirection w:val="lrTb"/>
            <w:noWrap/>
          </w:tcPr>
          <w:p>
            <w:pPr>
              <w:jc w:val="center"/>
              <w:spacing w:line="276" w:lineRule="auto"/>
              <w:rPr>
                <w:rFonts w:ascii="Arial" w:hAnsi="Arial" w:cs="Arial"/>
                <w:color w:val="000000"/>
                <w:sz w:val="20"/>
                <w:szCs w:val="24"/>
              </w:rPr>
            </w:pPr>
            <w:r>
              <w:rPr>
                <w:rFonts w:ascii="Arial" w:hAnsi="Arial" w:cs="Arial"/>
                <w:sz w:val="20"/>
                <w:szCs w:val="24"/>
              </w:rPr>
              <w:t xml:space="preserve">UNI</w:t>
            </w:r>
            <w:r>
              <w:rPr>
                <w:sz w:val="20"/>
              </w:rPr>
            </w:r>
            <w:r/>
          </w:p>
        </w:tc>
        <w:tc>
          <w:tcPr>
            <w:tcBorders>
              <w:top w:val="single" w:color="auto" w:sz="4" w:space="0"/>
              <w:left w:val="none" w:color="000000" w:sz="4" w:space="0"/>
              <w:bottom w:val="single" w:color="auto" w:sz="4" w:space="0"/>
              <w:right w:val="single" w:color="auto" w:sz="4" w:space="0"/>
            </w:tcBorders>
            <w:tcW w:w="2551" w:type="dxa"/>
            <w:vAlign w:val="center"/>
            <w:textDirection w:val="lrTb"/>
            <w:noWrap w:val="false"/>
          </w:tcPr>
          <w:p>
            <w:pPr>
              <w:jc w:val="both"/>
              <w:spacing w:line="276" w:lineRule="auto"/>
              <w:rPr>
                <w:rFonts w:ascii="Arial" w:hAnsi="Arial" w:cs="Arial"/>
                <w:sz w:val="20"/>
                <w:szCs w:val="24"/>
              </w:rPr>
            </w:pPr>
            <w:r>
              <w:rPr>
                <w:rFonts w:ascii="Arial" w:hAnsi="Arial" w:cs="Arial"/>
                <w:sz w:val="20"/>
                <w:szCs w:val="24"/>
              </w:rPr>
              <w:t xml:space="preserve">ALMOÇO/JANTAR</w:t>
            </w:r>
            <w:r>
              <w:rPr>
                <w:sz w:val="20"/>
              </w:rPr>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sz w:val="20"/>
                <w:szCs w:val="24"/>
              </w:rPr>
            </w:pPr>
            <w:r>
              <w:rPr>
                <w:rFonts w:ascii="Arial" w:hAnsi="Arial" w:cs="Arial"/>
                <w:sz w:val="20"/>
                <w:szCs w:val="24"/>
              </w:rPr>
              <w:t xml:space="preserve">R$49,97</w:t>
            </w:r>
            <w:r>
              <w:rPr>
                <w:sz w:val="20"/>
              </w:rPr>
            </w:r>
            <w:r/>
          </w:p>
        </w:tc>
        <w:tc>
          <w:tcPr>
            <w:tcBorders>
              <w:top w:val="single" w:color="auto" w:sz="4" w:space="0"/>
              <w:left w:val="none" w:color="000000" w:sz="4" w:space="0"/>
              <w:bottom w:val="single" w:color="auto" w:sz="4" w:space="0"/>
              <w:right w:val="single" w:color="auto" w:sz="4" w:space="0"/>
            </w:tcBorders>
            <w:tcW w:w="1697" w:type="dxa"/>
            <w:vAlign w:val="center"/>
            <w:textDirection w:val="lrTb"/>
            <w:noWrap w:val="false"/>
          </w:tcPr>
          <w:p>
            <w:pPr>
              <w:rPr>
                <w:sz w:val="20"/>
              </w:rPr>
            </w:pPr>
            <w:r>
              <w:rPr>
                <w:sz w:val="20"/>
              </w:rPr>
              <w:t xml:space="preserve">R$ 14.991,00</w:t>
            </w:r>
            <w:r>
              <w:rPr>
                <w:sz w:val="20"/>
              </w:rPr>
            </w:r>
            <w:r/>
          </w:p>
        </w:tc>
      </w:tr>
      <w:tr>
        <w:trPr>
          <w:trHeight w:val="439"/>
        </w:trPr>
        <w:tc>
          <w:tcPr>
            <w:gridSpan w:val="5"/>
            <w:shd w:val="clear" w:color="auto" w:fill="auto"/>
            <w:tcBorders>
              <w:top w:val="single" w:color="auto" w:sz="4" w:space="0"/>
              <w:left w:val="single" w:color="auto" w:sz="4" w:space="0"/>
              <w:bottom w:val="single" w:color="auto" w:sz="4" w:space="0"/>
              <w:right w:val="single" w:color="auto" w:sz="4" w:space="0"/>
            </w:tcBorders>
            <w:tcW w:w="6383" w:type="dxa"/>
            <w:vAlign w:val="center"/>
            <w:textDirection w:val="lrTb"/>
            <w:noWrap/>
          </w:tcPr>
          <w:p>
            <w:pPr>
              <w:jc w:val="center"/>
              <w:spacing w:line="276" w:lineRule="auto"/>
              <w:rPr>
                <w:rFonts w:ascii="Arial" w:hAnsi="Arial" w:cs="Arial"/>
                <w:color w:val="000000"/>
                <w:sz w:val="20"/>
                <w:szCs w:val="24"/>
              </w:rPr>
            </w:pPr>
            <w:r>
              <w:rPr>
                <w:rFonts w:ascii="Arial" w:hAnsi="Arial" w:cs="Arial"/>
                <w:b/>
                <w:sz w:val="20"/>
                <w:szCs w:val="24"/>
              </w:rPr>
              <w:t xml:space="preserve">VALOR TOTAL ESTIMADO</w:t>
            </w:r>
            <w:r>
              <w:rPr>
                <w:sz w:val="20"/>
              </w:rPr>
            </w:r>
            <w:r/>
          </w:p>
        </w:tc>
        <w:tc>
          <w:tcPr>
            <w:gridSpan w:val="2"/>
            <w:tcBorders>
              <w:top w:val="single" w:color="auto" w:sz="4" w:space="0"/>
              <w:left w:val="none" w:color="000000" w:sz="4" w:space="0"/>
              <w:bottom w:val="single" w:color="auto" w:sz="4" w:space="0"/>
              <w:right w:val="single" w:color="auto" w:sz="4" w:space="0"/>
            </w:tcBorders>
            <w:tcW w:w="3115" w:type="dxa"/>
            <w:vAlign w:val="center"/>
            <w:textDirection w:val="lrTb"/>
            <w:noWrap w:val="false"/>
          </w:tcPr>
          <w:p>
            <w:pPr>
              <w:jc w:val="center"/>
              <w:spacing w:line="276" w:lineRule="auto"/>
              <w:rPr>
                <w:rFonts w:ascii="Arial" w:hAnsi="Arial" w:cs="Arial"/>
                <w:color w:val="000000"/>
                <w:sz w:val="20"/>
                <w:szCs w:val="24"/>
              </w:rPr>
            </w:pPr>
            <w:r>
              <w:rPr>
                <w:rFonts w:ascii="Arial" w:hAnsi="Arial" w:cs="Arial" w:eastAsia="Times New Roman"/>
                <w:b/>
                <w:sz w:val="20"/>
                <w:szCs w:val="24"/>
                <w:lang w:eastAsia="pt-BR"/>
              </w:rPr>
              <w:t xml:space="preserve">R$ 252.770,00</w:t>
            </w:r>
            <w:r>
              <w:rPr>
                <w:sz w:val="20"/>
              </w:rPr>
            </w:r>
            <w:r/>
          </w:p>
        </w:tc>
      </w:tr>
    </w:tbl>
    <w:p>
      <w:pPr>
        <w:ind w:left="1701"/>
        <w:jc w:val="both"/>
        <w:spacing w:before="57" w:after="57" w:line="360" w:lineRule="auto"/>
        <w:rPr>
          <w:rFonts w:ascii="Arial" w:hAnsi="Arial"/>
          <w:sz w:val="24"/>
          <w:szCs w:val="24"/>
        </w:rPr>
      </w:pPr>
      <w:r>
        <w:rPr>
          <w:rFonts w:ascii="Arial" w:hAnsi="Arial"/>
          <w:sz w:val="24"/>
          <w:szCs w:val="24"/>
        </w:rPr>
      </w:r>
      <w:r/>
    </w:p>
    <w:p>
      <w:pPr>
        <w:numPr>
          <w:ilvl w:val="1"/>
          <w:numId w:val="8"/>
        </w:numPr>
        <w:ind w:left="993" w:hanging="567"/>
        <w:jc w:val="both"/>
        <w:spacing w:before="57" w:after="57" w:line="360" w:lineRule="auto"/>
        <w:rPr>
          <w:rFonts w:ascii="Arial" w:hAnsi="Arial" w:cs="Arial"/>
          <w:color w:val="000000"/>
          <w:sz w:val="24"/>
          <w:szCs w:val="24"/>
        </w:rPr>
      </w:pPr>
      <w:r>
        <w:rPr>
          <w:rFonts w:ascii="Arial" w:hAnsi="Arial" w:cs="Arial" w:eastAsia="Times New Roman"/>
          <w:color w:val="000000"/>
          <w:sz w:val="24"/>
          <w:szCs w:val="24"/>
        </w:rPr>
        <w:t xml:space="preserve">DESCRITIVO:</w:t>
      </w:r>
      <w:r/>
    </w:p>
    <w:p>
      <w:pPr>
        <w:numPr>
          <w:ilvl w:val="1"/>
          <w:numId w:val="8"/>
        </w:numPr>
        <w:ind w:left="993" w:hanging="567"/>
        <w:jc w:val="both"/>
        <w:spacing w:before="57" w:after="57" w:line="360" w:lineRule="auto"/>
        <w:rPr>
          <w:rFonts w:ascii="Arial" w:hAnsi="Arial" w:cs="Arial"/>
          <w:color w:val="000000"/>
          <w:sz w:val="24"/>
          <w:szCs w:val="24"/>
        </w:rPr>
      </w:pPr>
      <w:r>
        <w:rPr>
          <w:rFonts w:ascii="Arial" w:hAnsi="Arial"/>
          <w:sz w:val="24"/>
          <w:szCs w:val="24"/>
        </w:rPr>
        <w:t xml:space="preserve">ITEM 1 – COFFEE BREAK TIPO 1:</w:t>
      </w:r>
      <w:r/>
    </w:p>
    <w:p>
      <w:pPr>
        <w:numPr>
          <w:ilvl w:val="2"/>
          <w:numId w:val="8"/>
        </w:numPr>
        <w:ind w:left="1701"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Água mineral, cappuccino, café, chá em sachê, suco de frutas (2 tipos), r</w:t>
      </w:r>
      <w:r>
        <w:rPr>
          <w:rFonts w:ascii="Arial" w:hAnsi="Arial" w:cs="Arial"/>
          <w:color w:val="000000"/>
          <w:sz w:val="24"/>
          <w:szCs w:val="24"/>
        </w:rPr>
        <w:t xml:space="preserve">efrigerante normal e zero (2 tipos) e 10 (dez) tipos de variedades de salgados, bolos doces (2 tipos), bolos salgados (2 tipos), pães, sanduíches, canapés, 2 tipos de patês, 4 tipos de frutas frescas fatiadas - (mamão, melão, melancia, laranja, uva, banana</w:t>
      </w:r>
      <w:r>
        <w:rPr>
          <w:rFonts w:ascii="Arial" w:hAnsi="Arial" w:cs="Arial"/>
          <w:color w:val="000000"/>
          <w:sz w:val="24"/>
          <w:szCs w:val="24"/>
        </w:rPr>
        <w:t xml:space="preserve">),ou</w:t>
      </w:r>
      <w:r>
        <w:rPr>
          <w:rFonts w:ascii="Arial" w:hAnsi="Arial" w:cs="Arial"/>
          <w:color w:val="000000"/>
          <w:sz w:val="24"/>
          <w:szCs w:val="24"/>
        </w:rPr>
        <w:t xml:space="preserve"> salada de frutas.</w:t>
      </w:r>
      <w:r/>
    </w:p>
    <w:p>
      <w:pPr>
        <w:numPr>
          <w:ilvl w:val="1"/>
          <w:numId w:val="8"/>
        </w:numPr>
        <w:ind w:left="993" w:hanging="567"/>
        <w:jc w:val="both"/>
        <w:spacing w:before="57" w:after="57" w:line="360" w:lineRule="auto"/>
        <w:rPr>
          <w:rFonts w:ascii="Arial" w:hAnsi="Arial" w:cs="Arial"/>
          <w:color w:val="000000"/>
          <w:sz w:val="24"/>
          <w:szCs w:val="24"/>
        </w:rPr>
      </w:pPr>
      <w:r>
        <w:rPr>
          <w:rFonts w:ascii="Arial" w:hAnsi="Arial"/>
          <w:sz w:val="24"/>
          <w:szCs w:val="24"/>
        </w:rPr>
        <w:t xml:space="preserve">ITEM 2 – COFFEE BREAK TIPO 2:</w:t>
      </w:r>
      <w:r/>
    </w:p>
    <w:p>
      <w:pPr>
        <w:numPr>
          <w:ilvl w:val="2"/>
          <w:numId w:val="8"/>
        </w:numPr>
        <w:ind w:left="1701"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Café, Leite, c</w:t>
      </w:r>
      <w:r>
        <w:rPr>
          <w:rFonts w:ascii="Arial" w:hAnsi="Arial" w:cs="Arial"/>
          <w:color w:val="000000"/>
          <w:sz w:val="24"/>
          <w:szCs w:val="24"/>
        </w:rPr>
        <w:t xml:space="preserve">há, água mineral com gás e sem gás, chocolate quente e frio, 3 tipos de sucos naturais (laranja, abacaxi, caju, maracujá , acerola, manga, goiaba), salada de frutas, pão de queijo, 3 tipos de salgados de forno (pastel, empadinha e outros), 3 tipos de pães </w:t>
      </w:r>
      <w:r>
        <w:rPr>
          <w:rFonts w:ascii="Arial" w:hAnsi="Arial" w:cs="Arial"/>
          <w:color w:val="000000"/>
          <w:sz w:val="24"/>
          <w:szCs w:val="24"/>
        </w:rPr>
        <w:t xml:space="preserve">variados, 3 tipos de biscoitos finos (salgados e doces), mini pão de queijo ou esfiha, torradas, 2 tipos de folhados (frango, queijo, presunto)</w:t>
      </w:r>
      <w:r>
        <w:rPr>
          <w:rFonts w:ascii="Arial" w:hAnsi="Arial" w:cs="Arial"/>
          <w:color w:val="000000"/>
          <w:sz w:val="24"/>
          <w:szCs w:val="24"/>
        </w:rPr>
        <w:t xml:space="preserve">, 2 tipos de mini sanduíches (presunto queijo, peito de peru), 3 tipos de mini quiches, 3 tipos de bolos doces (laranja, chocolate, mesclado, milho), geleia, 2 tipos de patês (presunto, frango, tomate seco, atum, etc.), 2 tipos de frutas variadas fatiadas.</w:t>
      </w:r>
      <w:r/>
    </w:p>
    <w:p>
      <w:pPr>
        <w:numPr>
          <w:ilvl w:val="1"/>
          <w:numId w:val="8"/>
        </w:numPr>
        <w:ind w:left="993" w:hanging="567"/>
        <w:jc w:val="both"/>
        <w:spacing w:before="57" w:after="57" w:line="360" w:lineRule="auto"/>
        <w:rPr>
          <w:rFonts w:ascii="Arial" w:hAnsi="Arial" w:cs="Arial"/>
          <w:color w:val="000000"/>
          <w:sz w:val="24"/>
          <w:szCs w:val="24"/>
        </w:rPr>
      </w:pPr>
      <w:r>
        <w:rPr>
          <w:rFonts w:ascii="Arial" w:hAnsi="Arial" w:cs="Arial"/>
          <w:color w:val="000000"/>
          <w:sz w:val="24"/>
          <w:szCs w:val="24"/>
        </w:rPr>
        <w:t xml:space="preserve">ITEM 3 – ALMOÇO/JANTAR:</w:t>
      </w:r>
      <w:r/>
    </w:p>
    <w:p>
      <w:pPr>
        <w:numPr>
          <w:ilvl w:val="2"/>
          <w:numId w:val="8"/>
        </w:numPr>
        <w:ind w:left="1701"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2 tipos de arroz, 2 tipos de saladas (1 crua e uma cozida), 2 tipos de carnes (file e frango). Molho para salada, 1 tipo de massa (lasanha, canelone, nhoque, </w:t>
      </w:r>
      <w:r>
        <w:rPr>
          <w:rFonts w:ascii="Arial" w:hAnsi="Arial" w:cs="Arial"/>
          <w:color w:val="000000"/>
          <w:sz w:val="24"/>
          <w:szCs w:val="24"/>
        </w:rPr>
        <w:t xml:space="preserve">rondele</w:t>
      </w:r>
      <w:r>
        <w:rPr>
          <w:rFonts w:ascii="Arial" w:hAnsi="Arial" w:cs="Arial"/>
          <w:color w:val="000000"/>
          <w:sz w:val="24"/>
          <w:szCs w:val="24"/>
        </w:rPr>
        <w:t xml:space="preserve">, talharim, </w:t>
      </w:r>
      <w:r>
        <w:rPr>
          <w:rFonts w:ascii="Arial" w:hAnsi="Arial" w:cs="Arial"/>
          <w:color w:val="000000"/>
          <w:sz w:val="24"/>
          <w:szCs w:val="24"/>
        </w:rPr>
        <w:t xml:space="preserve">conchiglione</w:t>
      </w:r>
      <w:r>
        <w:rPr>
          <w:rFonts w:ascii="Arial" w:hAnsi="Arial" w:cs="Arial"/>
          <w:color w:val="000000"/>
          <w:sz w:val="24"/>
          <w:szCs w:val="24"/>
        </w:rPr>
        <w:t xml:space="preserve">), farofa, água mineral com gás e sem gás, 2 tipos de refrigerante sendo 1 zero, 2 tipos de suco natural, 2 sobremesas (pudim de leite e outra).</w:t>
      </w:r>
      <w:r/>
    </w:p>
    <w:p>
      <w:pPr>
        <w:ind w:left="1701"/>
        <w:jc w:val="both"/>
        <w:spacing w:before="57" w:after="57" w:line="360" w:lineRule="auto"/>
        <w:rPr>
          <w:rFonts w:ascii="Arial" w:hAnsi="Arial" w:cs="Arial"/>
          <w:color w:val="000000"/>
          <w:sz w:val="24"/>
          <w:szCs w:val="24"/>
        </w:rPr>
      </w:pPr>
      <w:r>
        <w:rPr>
          <w:rFonts w:ascii="Arial" w:hAnsi="Arial" w:cs="Arial"/>
          <w:color w:val="000000"/>
          <w:sz w:val="24"/>
          <w:szCs w:val="24"/>
        </w:rPr>
      </w:r>
      <w:r/>
    </w:p>
    <w:p>
      <w:pPr>
        <w:numPr>
          <w:ilvl w:val="0"/>
          <w:numId w:val="8"/>
        </w:numPr>
        <w:jc w:val="both"/>
        <w:spacing w:before="57" w:after="57" w:line="360" w:lineRule="auto"/>
        <w:rPr>
          <w:rFonts w:ascii="Arial" w:hAnsi="Arial"/>
          <w:bCs/>
          <w:sz w:val="24"/>
          <w:szCs w:val="24"/>
        </w:rPr>
      </w:pPr>
      <w:r>
        <w:rPr>
          <w:b/>
          <w:bCs/>
          <w:sz w:val="24"/>
          <w:szCs w:val="24"/>
        </w:rPr>
        <w:t xml:space="preserve">DOS RECURSOS ORÇAMENTÁRIOS:</w:t>
      </w:r>
      <w:r/>
    </w:p>
    <w:p>
      <w:pPr>
        <w:numPr>
          <w:ilvl w:val="1"/>
          <w:numId w:val="8"/>
        </w:numPr>
        <w:ind w:left="993" w:hanging="567"/>
        <w:jc w:val="both"/>
        <w:spacing w:before="57" w:after="57" w:line="360" w:lineRule="auto"/>
        <w:rPr>
          <w:rFonts w:ascii="Arial" w:hAnsi="Arial"/>
          <w:bCs/>
          <w:color w:val="000000"/>
          <w:sz w:val="24"/>
          <w:szCs w:val="24"/>
        </w:rPr>
      </w:pPr>
      <w:r>
        <w:rPr>
          <w:color w:val="000000" w:themeColor="text1"/>
          <w:sz w:val="24"/>
          <w:szCs w:val="24"/>
        </w:rPr>
        <w:t xml:space="preserve">As despesas inerentes a este Termo de Referência correrão à conta da Dotação Orçamentária:</w:t>
      </w:r>
      <w:r/>
    </w:p>
    <w:p>
      <w:pPr>
        <w:numPr>
          <w:ilvl w:val="2"/>
          <w:numId w:val="8"/>
        </w:numPr>
        <w:ind w:left="1701" w:hanging="708"/>
        <w:jc w:val="both"/>
        <w:spacing w:before="57" w:after="57" w:line="360" w:lineRule="auto"/>
        <w:rPr>
          <w:rFonts w:ascii="Arial" w:hAnsi="Arial" w:cs="Arial"/>
          <w:sz w:val="24"/>
          <w:szCs w:val="24"/>
        </w:rPr>
      </w:pPr>
      <w:r>
        <w:rPr>
          <w:rFonts w:ascii="Arial" w:hAnsi="Arial" w:cs="Arial"/>
          <w:sz w:val="24"/>
          <w:szCs w:val="24"/>
        </w:rPr>
        <w:t xml:space="preserve">Secretaria Municipal de Educação:</w:t>
      </w:r>
      <w:r/>
    </w:p>
    <w:p>
      <w:pPr>
        <w:ind w:left="426"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02.009.12.122.0001.2043   </w:t>
      </w:r>
      <w:r>
        <w:rPr>
          <w:rFonts w:ascii="Arial" w:hAnsi="Arial"/>
          <w:b/>
          <w:bCs/>
          <w:sz w:val="24"/>
          <w:szCs w:val="24"/>
        </w:rPr>
        <w:t xml:space="preserve">3.3.90.39.00.00   </w:t>
      </w:r>
      <w:r>
        <w:rPr>
          <w:rFonts w:ascii="Arial" w:hAnsi="Arial"/>
          <w:b/>
          <w:bCs/>
          <w:color w:val="000000" w:themeColor="text1"/>
          <w:sz w:val="24"/>
          <w:szCs w:val="24"/>
        </w:rPr>
        <w:t xml:space="preserve">Fonte: 100    Conta: 327</w:t>
      </w:r>
      <w:r/>
    </w:p>
    <w:p>
      <w:pPr>
        <w:ind w:left="426" w:firstLine="567"/>
        <w:jc w:val="both"/>
        <w:spacing w:before="57" w:after="57" w:line="360" w:lineRule="auto"/>
        <w:rPr>
          <w:rFonts w:ascii="Arial" w:hAnsi="Arial"/>
          <w:b/>
          <w:bCs/>
          <w:sz w:val="24"/>
          <w:szCs w:val="24"/>
        </w:rPr>
      </w:pPr>
      <w:r>
        <w:rPr>
          <w:rFonts w:ascii="Arial" w:hAnsi="Arial"/>
          <w:b/>
          <w:bCs/>
          <w:sz w:val="24"/>
          <w:szCs w:val="24"/>
        </w:rPr>
        <w:t xml:space="preserve">02.009.12.361.0034.2045   3.3.90.39.00.00   Fonte: 100    Conta: 377</w:t>
      </w:r>
      <w:r/>
    </w:p>
    <w:p>
      <w:pPr>
        <w:ind w:left="426" w:firstLine="567"/>
        <w:jc w:val="both"/>
        <w:spacing w:before="57" w:after="57" w:line="360" w:lineRule="auto"/>
        <w:rPr>
          <w:rFonts w:ascii="Arial" w:hAnsi="Arial"/>
          <w:b/>
          <w:bCs/>
          <w:sz w:val="24"/>
          <w:szCs w:val="24"/>
        </w:rPr>
      </w:pPr>
      <w:r>
        <w:rPr>
          <w:rFonts w:ascii="Arial" w:hAnsi="Arial"/>
          <w:b/>
          <w:bCs/>
          <w:sz w:val="24"/>
          <w:szCs w:val="24"/>
        </w:rPr>
        <w:t xml:space="preserve">02.009.12.365.0034.2048   3.3.90.39.00.00   Fonte: 100    Conta: 424</w:t>
      </w:r>
      <w:r/>
    </w:p>
    <w:p>
      <w:pPr>
        <w:numPr>
          <w:ilvl w:val="2"/>
          <w:numId w:val="8"/>
        </w:numPr>
        <w:ind w:left="1701" w:hanging="708"/>
        <w:jc w:val="both"/>
        <w:spacing w:before="57" w:after="57" w:line="360" w:lineRule="auto"/>
        <w:rPr>
          <w:rFonts w:ascii="Arial" w:hAnsi="Arial" w:cs="Arial"/>
          <w:sz w:val="24"/>
          <w:szCs w:val="24"/>
        </w:rPr>
      </w:pPr>
      <w:r>
        <w:rPr>
          <w:rFonts w:ascii="Arial" w:hAnsi="Arial" w:cs="Arial"/>
          <w:sz w:val="24"/>
          <w:szCs w:val="24"/>
        </w:rPr>
        <w:t xml:space="preserve">Secretaria Municipal de Governo e Coordenação:</w:t>
      </w:r>
      <w:r/>
    </w:p>
    <w:p>
      <w:pPr>
        <w:ind w:left="426"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02.001.04.122.0001.2003   3.3.90.39.00.00   Fonte: 100    Conta: 04</w:t>
      </w:r>
      <w:r/>
    </w:p>
    <w:p>
      <w:pPr>
        <w:pStyle w:val="1096"/>
        <w:numPr>
          <w:ilvl w:val="0"/>
          <w:numId w:val="8"/>
        </w:numPr>
        <w:jc w:val="both"/>
        <w:spacing w:before="57" w:after="57" w:line="360" w:lineRule="auto"/>
        <w:rPr>
          <w:rFonts w:ascii="Arial" w:hAnsi="Arial" w:cs="Arial"/>
          <w:bCs/>
          <w:sz w:val="24"/>
          <w:szCs w:val="24"/>
        </w:rPr>
      </w:pPr>
      <w:r>
        <w:rPr>
          <w:rFonts w:ascii="Arial" w:hAnsi="Arial" w:cs="Arial" w:eastAsia="Arial Unicode MS"/>
          <w:b/>
          <w:bCs/>
          <w:sz w:val="24"/>
          <w:szCs w:val="24"/>
        </w:rPr>
        <w:t xml:space="preserve">CRITÉRIOS DE ACEITABILIDADE E JULGAMENTO:</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 </w:t>
      </w:r>
      <w:r>
        <w:rPr>
          <w:rFonts w:eastAsia="Arial Unicode MS"/>
          <w:bCs/>
          <w:sz w:val="22"/>
          <w:szCs w:val="22"/>
        </w:rPr>
        <w:t xml:space="preserve">O julgamento das propostas será efetuado, obedecendo ao critério MENOR PREÇO POR LOTE, em conformidade com as quantidades, detalhamentos e condições estabelecidas no presente Termo de Referência.</w:t>
      </w:r>
      <w:r/>
    </w:p>
    <w:p>
      <w:pPr>
        <w:pStyle w:val="1096"/>
        <w:numPr>
          <w:ilvl w:val="0"/>
          <w:numId w:val="8"/>
        </w:numPr>
        <w:jc w:val="both"/>
        <w:spacing w:before="240" w:after="240" w:line="276" w:lineRule="auto"/>
        <w:rPr>
          <w:rFonts w:ascii="Arial" w:hAnsi="Arial" w:eastAsia="Times New Roman"/>
          <w:sz w:val="24"/>
          <w:szCs w:val="24"/>
        </w:rPr>
      </w:pPr>
      <w:r>
        <w:rPr>
          <w:rFonts w:ascii="Arial" w:hAnsi="Arial" w:cs="Arial"/>
          <w:b/>
          <w:bCs/>
          <w:sz w:val="24"/>
          <w:szCs w:val="24"/>
        </w:rPr>
        <w:t xml:space="preserve">QUALIFICAÇÃO TÉCNICA:</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96"/>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DAS AMOSTRAS:</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96"/>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PRAZO DE EXECUÇÃO:</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96"/>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FISCALIZAÇÃO:</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96"/>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PAGAMENTO:</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96"/>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OBRIGAÇÕES DA CONTRATADA:</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96"/>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OBRIGAÇÕES DA CONTRATANTE:</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96"/>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SANSÕES ADMINISTRATIVAS:</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96"/>
        <w:numPr>
          <w:ilvl w:val="0"/>
          <w:numId w:val="8"/>
        </w:numPr>
        <w:jc w:val="both"/>
        <w:spacing w:before="57" w:after="57" w:line="360" w:lineRule="auto"/>
        <w:rPr>
          <w:rFonts w:ascii="Arial" w:hAnsi="Arial" w:cs="Arial"/>
          <w:b/>
          <w:sz w:val="24"/>
          <w:szCs w:val="24"/>
        </w:rPr>
      </w:pPr>
      <w:r>
        <w:rPr>
          <w:rFonts w:ascii="Arial" w:hAnsi="Arial" w:cs="Arial"/>
          <w:b/>
          <w:sz w:val="24"/>
          <w:szCs w:val="24"/>
        </w:rPr>
        <w:t xml:space="preserve">DISPOSIÇÕES GERAIS:</w:t>
      </w:r>
      <w:r/>
    </w:p>
    <w:p>
      <w:pPr>
        <w:numPr>
          <w:ilvl w:val="1"/>
          <w:numId w:val="8"/>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Satiele</w:t>
      </w:r>
      <w:r>
        <w:rPr>
          <w:rFonts w:ascii="Arial" w:hAnsi="Arial" w:eastAsia="Arial Unicode MS"/>
          <w:b/>
          <w:sz w:val="24"/>
          <w:szCs w:val="24"/>
        </w:rPr>
        <w:t xml:space="preserve"> de Sequeira Santos</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Secretária Municipal de Educação</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1.07011-9</w:t>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096"/>
        <w:jc w:val="center"/>
        <w:spacing w:before="57" w:after="57" w:line="276" w:lineRule="auto"/>
        <w:rPr>
          <w:rFonts w:ascii="Arial" w:hAnsi="Arial" w:eastAsia="Arial"/>
          <w:sz w:val="24"/>
          <w:szCs w:val="24"/>
          <w:u w:val="single"/>
        </w:rPr>
      </w:pPr>
      <w:r>
        <w:rPr>
          <w:rFonts w:ascii="Arial" w:hAnsi="Arial" w:eastAsia="Arial"/>
          <w:b/>
          <w:sz w:val="24"/>
          <w:szCs w:val="24"/>
          <w:u w:val="single"/>
        </w:rPr>
        <w:t xml:space="preserve">ANEXO II:</w:t>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360" w:lineRule="auto"/>
        <w:rPr>
          <w:rFonts w:ascii="Arial" w:hAnsi="Arial" w:eastAsia="Arial"/>
          <w:sz w:val="24"/>
          <w:szCs w:val="24"/>
        </w:rPr>
      </w:pPr>
      <w:r>
        <w:rPr>
          <w:rFonts w:ascii="Arial" w:hAnsi="Arial" w:eastAsia="Arial"/>
          <w:b/>
          <w:sz w:val="24"/>
          <w:szCs w:val="24"/>
        </w:rPr>
        <w:t xml:space="preserve">MODELO PADRÃO DE PROPOSTA COMERCIAL</w:t>
      </w:r>
      <w:r/>
    </w:p>
    <w:p>
      <w:pPr>
        <w:pStyle w:val="1096"/>
        <w:ind w:left="-709" w:right="-284"/>
        <w:jc w:val="both"/>
        <w:spacing w:before="57" w:after="57" w:line="360"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XX.XXX.X</w:t>
      </w:r>
      <w:r>
        <w:rPr>
          <w:rFonts w:ascii="Arial" w:hAnsi="Arial" w:eastAsia="Arial"/>
          <w:sz w:val="24"/>
          <w:szCs w:val="24"/>
        </w:rPr>
        <w:t xml:space="preserve">XX/XXXX-XX com sede na ____________________________, através de seu representante legal infra-assinado, (NOME) __________________________, nacionalidade _________, estado civil _________, profissão _________, portador da cédula de Identidade nº XXXXXXXXXX,</w:t>
      </w:r>
      <w:r>
        <w:rPr>
          <w:rFonts w:ascii="Arial" w:hAnsi="Arial" w:eastAsia="Arial"/>
          <w:sz w:val="24"/>
          <w:szCs w:val="24"/>
        </w:rPr>
        <w:t xml:space="preserve"> expedida pela XXXXX/XX, inscrito no C.P.F. sob o nº XXX.XXX.XXX-XX, residente e domiciliado a _______________________________________ em estrito cumprimento ao previsto no processo administrativo nº 26.701/2021 e processo licitatório Pregão Eletrônico nº </w:t>
      </w:r>
      <w:r>
        <w:rPr>
          <w:rFonts w:ascii="Arial" w:hAnsi="Arial" w:eastAsia="Arial"/>
          <w:sz w:val="24"/>
          <w:szCs w:val="24"/>
        </w:rPr>
        <w:t xml:space="preserve">090</w:t>
      </w:r>
      <w:r>
        <w:rPr>
          <w:rFonts w:ascii="Arial" w:hAnsi="Arial" w:eastAsia="Arial"/>
          <w:sz w:val="24"/>
          <w:szCs w:val="24"/>
        </w:rPr>
        <w:t xml:space="preserve">/2022</w:t>
      </w:r>
      <w:r>
        <w:rPr>
          <w:rFonts w:ascii="Arial" w:hAnsi="Arial" w:eastAsia="Arial"/>
          <w:b/>
          <w:sz w:val="24"/>
          <w:szCs w:val="24"/>
        </w:rPr>
        <w:t xml:space="preserve"> </w:t>
      </w:r>
      <w:r>
        <w:rPr>
          <w:rFonts w:ascii="Arial" w:hAnsi="Arial" w:eastAsia="Arial"/>
          <w:sz w:val="24"/>
          <w:szCs w:val="24"/>
        </w:rPr>
        <w:t xml:space="preserve"> da licitação em epígrafe, </w:t>
      </w:r>
      <w:r>
        <w:rPr>
          <w:rFonts w:ascii="Arial" w:hAnsi="Arial" w:eastAsia="Arial"/>
          <w:b/>
          <w:sz w:val="24"/>
          <w:szCs w:val="24"/>
        </w:rPr>
        <w:t xml:space="preserve">PREGÃO ELETRÔNICO DO TIPO MENOR PREÇO POR LOTE PARA REGISTRO DE PREÇOS, PELO PERÍODO DE 12 (DOZE) MESES, PARA FUTURA AQUISIÇÃO DE SERVIÇO DE BUFFET PARA AS SECRETARIAS MUNICIPAIS DE EDUCAÇÃO E DE GOVERNO E COORDENAÇÃO</w:t>
      </w:r>
      <w:r>
        <w:rPr>
          <w:rFonts w:ascii="Arial" w:hAnsi="Arial" w:eastAsia="Cambria"/>
          <w:b/>
          <w:bCs/>
          <w:sz w:val="24"/>
          <w:szCs w:val="24"/>
        </w:rPr>
        <w:t xml:space="preserve">,</w:t>
      </w:r>
      <w:r>
        <w:rPr>
          <w:rFonts w:ascii="Arial" w:hAnsi="Arial" w:eastAsia="Arial"/>
          <w:sz w:val="24"/>
          <w:szCs w:val="24"/>
        </w:rPr>
        <w:t xml:space="preserve"> solicitado pela </w:t>
      </w:r>
      <w:r>
        <w:rPr>
          <w:rFonts w:ascii="Arial" w:hAnsi="Arial" w:eastAsia="Arial"/>
          <w:b/>
          <w:sz w:val="24"/>
          <w:szCs w:val="24"/>
        </w:rPr>
        <w:t xml:space="preserve">Secretaria Municipal de Educação da Prefeitura Municipal de Teresópolis</w:t>
      </w:r>
      <w:r>
        <w:rPr>
          <w:rFonts w:ascii="Arial" w:hAnsi="Arial" w:eastAsia="Arial"/>
          <w:sz w:val="24"/>
          <w:szCs w:val="24"/>
        </w:rPr>
        <w:t xml:space="preserve"> na forma abaixo discriminada, que serão distribuídas conforme solicitação da Secretaria.</w:t>
      </w:r>
      <w:r/>
    </w:p>
    <w:p>
      <w:pPr>
        <w:pStyle w:val="1096"/>
        <w:ind w:left="-709" w:right="-284"/>
        <w:jc w:val="both"/>
        <w:spacing w:before="57" w:after="57" w:line="360" w:lineRule="auto"/>
        <w:rPr>
          <w:rFonts w:ascii="Arial" w:hAnsi="Arial" w:eastAsia="Arial"/>
          <w:sz w:val="24"/>
          <w:szCs w:val="24"/>
        </w:rPr>
      </w:pPr>
      <w:r>
        <w:rPr>
          <w:rFonts w:ascii="Arial" w:hAnsi="Arial" w:eastAsia="Arial"/>
          <w:sz w:val="24"/>
          <w:szCs w:val="24"/>
        </w:rPr>
      </w:r>
      <w:r/>
    </w:p>
    <w:tbl>
      <w:tblPr>
        <w:tblW w:w="9781" w:type="dxa"/>
        <w:tblInd w:w="-572" w:type="dxa"/>
        <w:tblLayout w:type="fixed"/>
        <w:tblLook w:val="04A0" w:firstRow="1" w:lastRow="0" w:firstColumn="1" w:lastColumn="0" w:noHBand="0" w:noVBand="1"/>
      </w:tblPr>
      <w:tblGrid>
        <w:gridCol w:w="851"/>
        <w:gridCol w:w="1276"/>
        <w:gridCol w:w="1129"/>
        <w:gridCol w:w="855"/>
        <w:gridCol w:w="2835"/>
        <w:gridCol w:w="1418"/>
        <w:gridCol w:w="1417"/>
      </w:tblGrid>
      <w:tr>
        <w:trPr>
          <w:trHeight w:val="500"/>
        </w:trPr>
        <w:tc>
          <w:tcPr>
            <w:gridSpan w:val="7"/>
            <w:shd w:val="clear" w:color="auto" w:fill="c4bc96" w:themeFill="background2" w:themeFillShade="BF"/>
            <w:tcBorders>
              <w:top w:val="single" w:color="auto" w:sz="4" w:space="0"/>
              <w:left w:val="single" w:color="auto" w:sz="4" w:space="0"/>
              <w:bottom w:val="none" w:color="000000" w:sz="4" w:space="0"/>
              <w:right w:val="single" w:color="auto" w:sz="4" w:space="0"/>
            </w:tcBorders>
            <w:tcW w:w="9781" w:type="dxa"/>
            <w:vAlign w:val="center"/>
            <w:textDirection w:val="lrTb"/>
            <w:noWrap/>
          </w:tcPr>
          <w:p>
            <w:pPr>
              <w:jc w:val="center"/>
              <w:spacing w:line="276" w:lineRule="auto"/>
              <w:rPr>
                <w:rFonts w:ascii="Arial" w:hAnsi="Arial" w:cs="Arial"/>
                <w:b/>
                <w:color w:val="000000"/>
                <w:sz w:val="24"/>
                <w:szCs w:val="24"/>
              </w:rPr>
            </w:pPr>
            <w:r>
              <w:rPr>
                <w:rFonts w:ascii="Arial" w:hAnsi="Arial" w:cs="Arial" w:eastAsia="Times New Roman"/>
                <w:color w:val="000000"/>
                <w:sz w:val="24"/>
                <w:szCs w:val="24"/>
                <w:lang w:eastAsia="pt-BR"/>
              </w:rPr>
              <w:t xml:space="preserve">PROPOSTA COMERCIAL</w:t>
            </w:r>
            <w:r/>
          </w:p>
        </w:tc>
      </w:tr>
      <w:tr>
        <w:trPr>
          <w:trHeight w:val="255"/>
        </w:trPr>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ITEM</w:t>
            </w:r>
            <w:r/>
          </w:p>
        </w:tc>
        <w:tc>
          <w:tcPr>
            <w:shd w:val="clear" w:color="auto" w:fill="c4bc96" w:themeFill="background2" w:themeFillShade="B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CÓDIGO</w:t>
            </w:r>
            <w:r/>
          </w:p>
        </w:tc>
        <w:tc>
          <w:tcPr>
            <w:shd w:val="clear" w:color="auto" w:fill="c4bc96" w:themeFill="background2" w:themeFillShade="BF"/>
            <w:tcBorders>
              <w:top w:val="single" w:color="auto" w:sz="4" w:space="0"/>
              <w:left w:val="single" w:color="auto" w:sz="4" w:space="0"/>
              <w:bottom w:val="none" w:color="000000" w:sz="4" w:space="0"/>
              <w:right w:val="single" w:color="auto" w:sz="4" w:space="0"/>
            </w:tcBorders>
            <w:tcW w:w="1129" w:type="dxa"/>
            <w:vAlign w:val="center"/>
            <w:textDirection w:val="lrTb"/>
            <w:noWrap/>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QUANT</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855" w:type="dxa"/>
            <w:vAlign w:val="center"/>
            <w:textDirection w:val="lrTb"/>
            <w:noWrap/>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UNI</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2835" w:type="dxa"/>
            <w:vAlign w:val="center"/>
            <w:textDirection w:val="lrTb"/>
            <w:noWrap w:val="false"/>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DESCRIÇÃO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418" w:type="dxa"/>
            <w:vAlign w:val="center"/>
            <w:textDirection w:val="lrTb"/>
            <w:noWrap w:val="false"/>
          </w:tcPr>
          <w:p>
            <w:pPr>
              <w:jc w:val="center"/>
              <w:spacing w:line="276" w:lineRule="auto"/>
              <w:rPr>
                <w:rFonts w:ascii="Arial" w:hAnsi="Arial" w:cs="Arial"/>
                <w:b/>
                <w:color w:val="000000"/>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63360"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20"/>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63360;o:allowoverlap:true;o:allowincell:true;mso-position-horizontal-relative:page;margin-left:-409.5pt;mso-position-horizontal:absolute;mso-position-vertical-relative:margin;margin-top:-35049.4pt;mso-position-vertical:absolute;width:575.2pt;height:846.8pt;" stroked="f">
                      <v:path textboxrect="0,0,0,0"/>
                      <v:imagedata r:id="rId20" o:title=""/>
                    </v:shape>
                  </w:pict>
                </mc:Fallback>
              </mc:AlternateContent>
            </w:r>
            <w:r>
              <w:rPr>
                <w:rFonts w:ascii="Arial" w:hAnsi="Arial" w:cs="Arial"/>
                <w:b/>
                <w:color w:val="000000"/>
                <w:sz w:val="24"/>
                <w:szCs w:val="24"/>
              </w:rPr>
              <w:t xml:space="preserve">VALOR UNITARIO</w:t>
            </w:r>
            <w:r/>
          </w:p>
        </w:tc>
        <w:tc>
          <w:tcPr>
            <w:shd w:val="clear" w:color="auto" w:fill="c4bc96" w:themeFill="background2" w:themeFillShade="BF"/>
            <w:tcBorders>
              <w:top w:val="single" w:color="auto" w:sz="4" w:space="0"/>
              <w:left w:val="none" w:color="000000" w:sz="4" w:space="0"/>
              <w:bottom w:val="none" w:color="000000" w:sz="4" w:space="0"/>
              <w:right w:val="single" w:color="auto" w:sz="4" w:space="0"/>
            </w:tcBorders>
            <w:tcW w:w="1417" w:type="dxa"/>
            <w:vAlign w:val="center"/>
            <w:textDirection w:val="lrTb"/>
            <w:noWrap w:val="false"/>
          </w:tcPr>
          <w:p>
            <w:pPr>
              <w:jc w:val="center"/>
              <w:spacing w:line="276" w:lineRule="auto"/>
              <w:rPr>
                <w:rFonts w:ascii="Arial" w:hAnsi="Arial" w:cs="Arial"/>
                <w:b/>
                <w:color w:val="000000"/>
                <w:sz w:val="24"/>
                <w:szCs w:val="24"/>
              </w:rPr>
            </w:pPr>
            <w:r>
              <w:rPr>
                <w:rFonts w:ascii="Arial" w:hAnsi="Arial" w:cs="Arial"/>
                <w:b/>
                <w:color w:val="000000"/>
                <w:sz w:val="24"/>
                <w:szCs w:val="24"/>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w:t>
            </w:r>
            <w:r/>
          </w:p>
        </w:tc>
        <w:tc>
          <w:tcPr>
            <w:tcBorders>
              <w:top w:val="single" w:color="auto" w:sz="4" w:space="0"/>
              <w:left w:val="none" w:color="000000" w:sz="4" w:space="0"/>
              <w:bottom w:val="single" w:color="auto" w:sz="4" w:space="0"/>
              <w:right w:val="single" w:color="auto" w:sz="4" w:space="0"/>
            </w:tcBorders>
            <w:tcW w:w="1276" w:type="dxa"/>
            <w:textDirection w:val="lrTb"/>
            <w:noWrap w:val="false"/>
          </w:tcPr>
          <w:p>
            <w:pPr>
              <w:ind w:left="87" w:hanging="87"/>
              <w:jc w:val="center"/>
              <w:spacing w:line="276" w:lineRule="auto"/>
              <w:rPr>
                <w:rFonts w:ascii="Arial" w:hAnsi="Arial" w:cs="Arial"/>
                <w:color w:val="000000"/>
                <w:sz w:val="24"/>
                <w:szCs w:val="24"/>
              </w:rPr>
            </w:pPr>
            <w:r>
              <w:rPr>
                <w:rFonts w:ascii="Arial" w:hAnsi="Arial" w:cs="Arial"/>
                <w:sz w:val="24"/>
                <w:szCs w:val="24"/>
              </w:rPr>
              <w:t xml:space="preserve">12807</w:t>
            </w:r>
            <w:r/>
          </w:p>
        </w:tc>
        <w:tc>
          <w:tcPr>
            <w:shd w:val="clear" w:color="auto" w:fill="auto"/>
            <w:tcBorders>
              <w:top w:val="single" w:color="auto" w:sz="4" w:space="0"/>
              <w:left w:val="single" w:color="auto" w:sz="4" w:space="0"/>
              <w:bottom w:val="single" w:color="auto" w:sz="4" w:space="0"/>
              <w:right w:val="single" w:color="auto" w:sz="4" w:space="0"/>
            </w:tcBorders>
            <w:tcW w:w="1129"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6.250</w:t>
            </w:r>
            <w:r/>
          </w:p>
        </w:tc>
        <w:tc>
          <w:tcPr>
            <w:shd w:val="clear" w:color="auto" w:fill="auto"/>
            <w:tcBorders>
              <w:top w:val="single" w:color="auto" w:sz="4" w:space="0"/>
              <w:left w:val="none" w:color="000000" w:sz="4" w:space="0"/>
              <w:bottom w:val="single" w:color="auto" w:sz="4" w:space="0"/>
              <w:right w:val="single" w:color="auto" w:sz="4" w:space="0"/>
            </w:tcBorders>
            <w:tcW w:w="855"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UNI</w:t>
            </w:r>
            <w:r/>
          </w:p>
        </w:tc>
        <w:tc>
          <w:tcPr>
            <w:tcBorders>
              <w:top w:val="single" w:color="auto" w:sz="4" w:space="0"/>
              <w:left w:val="none" w:color="000000" w:sz="4" w:space="0"/>
              <w:bottom w:val="single" w:color="auto" w:sz="4" w:space="0"/>
              <w:right w:val="single" w:color="auto" w:sz="4" w:space="0"/>
            </w:tcBorders>
            <w:tcW w:w="2835" w:type="dxa"/>
            <w:textDirection w:val="lrTb"/>
            <w:noWrap w:val="false"/>
          </w:tcPr>
          <w:p>
            <w:pPr>
              <w:jc w:val="both"/>
              <w:rPr>
                <w:rFonts w:ascii="Arial" w:hAnsi="Arial" w:cs="Arial"/>
                <w:sz w:val="24"/>
                <w:szCs w:val="24"/>
              </w:rPr>
            </w:pPr>
            <w:r>
              <w:rPr>
                <w:rFonts w:ascii="Arial" w:hAnsi="Arial" w:cs="Arial"/>
                <w:sz w:val="24"/>
                <w:szCs w:val="24"/>
              </w:rPr>
              <w:t xml:space="preserve">COFFEE BREAK Tipo 1</w:t>
            </w:r>
            <w:r/>
          </w:p>
        </w:tc>
        <w:tc>
          <w:tcPr>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jc w:val="center"/>
              <w:spacing w:line="276" w:lineRule="auto"/>
              <w:rPr>
                <w:rFonts w:ascii="Arial" w:hAnsi="Arial" w:cs="Arial"/>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2</w:t>
            </w:r>
            <w:r/>
          </w:p>
        </w:tc>
        <w:tc>
          <w:tcPr>
            <w:tcBorders>
              <w:top w:val="single" w:color="auto" w:sz="4" w:space="0"/>
              <w:left w:val="none" w:color="000000" w:sz="4" w:space="0"/>
              <w:bottom w:val="single" w:color="auto" w:sz="4" w:space="0"/>
              <w:right w:val="single" w:color="auto" w:sz="4" w:space="0"/>
            </w:tcBorders>
            <w:tcW w:w="1276" w:type="dxa"/>
            <w:textDirection w:val="lrTb"/>
            <w:noWrap w:val="false"/>
          </w:tcPr>
          <w:p>
            <w:pPr>
              <w:ind w:left="87" w:hanging="87"/>
              <w:jc w:val="center"/>
              <w:spacing w:line="276" w:lineRule="auto"/>
              <w:rPr>
                <w:rFonts w:ascii="Arial" w:hAnsi="Arial" w:cs="Arial"/>
                <w:sz w:val="24"/>
                <w:szCs w:val="24"/>
              </w:rPr>
            </w:pPr>
            <w:r>
              <w:rPr>
                <w:rFonts w:ascii="Arial" w:hAnsi="Arial" w:cs="Arial"/>
                <w:sz w:val="24"/>
                <w:szCs w:val="24"/>
              </w:rPr>
              <w:t xml:space="preserve">12087</w:t>
            </w:r>
            <w:r/>
          </w:p>
        </w:tc>
        <w:tc>
          <w:tcPr>
            <w:shd w:val="clear" w:color="auto" w:fill="auto"/>
            <w:tcBorders>
              <w:top w:val="single" w:color="auto" w:sz="4" w:space="0"/>
              <w:left w:val="single" w:color="auto" w:sz="4" w:space="0"/>
              <w:bottom w:val="single" w:color="auto" w:sz="4" w:space="0"/>
              <w:right w:val="single" w:color="auto" w:sz="4" w:space="0"/>
            </w:tcBorders>
            <w:tcW w:w="1129" w:type="dxa"/>
            <w:textDirection w:val="lrTb"/>
            <w:noWrap/>
          </w:tcPr>
          <w:p>
            <w:pPr>
              <w:jc w:val="center"/>
              <w:spacing w:line="276" w:lineRule="auto"/>
              <w:rPr>
                <w:rFonts w:ascii="Arial" w:hAnsi="Arial" w:cs="Arial"/>
                <w:color w:val="000000"/>
                <w:sz w:val="24"/>
                <w:szCs w:val="24"/>
                <w:lang w:val="en-US"/>
              </w:rPr>
            </w:pPr>
            <w:r>
              <w:rPr>
                <w:rFonts w:ascii="Arial" w:hAnsi="Arial" w:cs="Arial"/>
                <w:sz w:val="24"/>
                <w:szCs w:val="24"/>
              </w:rPr>
              <w:t xml:space="preserve">2.550</w:t>
            </w:r>
            <w:r/>
          </w:p>
        </w:tc>
        <w:tc>
          <w:tcPr>
            <w:shd w:val="clear" w:color="auto" w:fill="auto"/>
            <w:tcBorders>
              <w:top w:val="single" w:color="auto" w:sz="4" w:space="0"/>
              <w:left w:val="none" w:color="000000" w:sz="4" w:space="0"/>
              <w:bottom w:val="single" w:color="auto" w:sz="4" w:space="0"/>
              <w:right w:val="single" w:color="auto" w:sz="4" w:space="0"/>
            </w:tcBorders>
            <w:tcW w:w="855" w:type="dxa"/>
            <w:textDirection w:val="lrTb"/>
            <w:noWrap/>
          </w:tcPr>
          <w:p>
            <w:pPr>
              <w:jc w:val="center"/>
              <w:spacing w:line="276" w:lineRule="auto"/>
              <w:rPr>
                <w:rFonts w:ascii="Arial" w:hAnsi="Arial" w:cs="Arial"/>
                <w:color w:val="000000"/>
                <w:sz w:val="24"/>
                <w:szCs w:val="24"/>
              </w:rPr>
            </w:pPr>
            <w:r>
              <w:rPr>
                <w:rFonts w:ascii="Arial" w:hAnsi="Arial" w:cs="Arial"/>
                <w:sz w:val="24"/>
                <w:szCs w:val="24"/>
              </w:rPr>
              <w:t xml:space="preserve">UNI</w:t>
            </w:r>
            <w:r/>
          </w:p>
        </w:tc>
        <w:tc>
          <w:tcPr>
            <w:tcBorders>
              <w:top w:val="single" w:color="auto" w:sz="4" w:space="0"/>
              <w:left w:val="none" w:color="000000" w:sz="4" w:space="0"/>
              <w:bottom w:val="single" w:color="auto" w:sz="4" w:space="0"/>
              <w:right w:val="single" w:color="auto" w:sz="4" w:space="0"/>
            </w:tcBorders>
            <w:tcW w:w="2835" w:type="dxa"/>
            <w:textDirection w:val="lrTb"/>
            <w:noWrap w:val="false"/>
          </w:tcPr>
          <w:p>
            <w:pPr>
              <w:jc w:val="both"/>
              <w:rPr>
                <w:rFonts w:ascii="Arial" w:hAnsi="Arial" w:cs="Arial"/>
                <w:sz w:val="24"/>
                <w:szCs w:val="24"/>
              </w:rPr>
            </w:pPr>
            <w:r>
              <w:rPr>
                <w:rFonts w:ascii="Arial" w:hAnsi="Arial" w:cs="Arial"/>
                <w:sz w:val="24"/>
                <w:szCs w:val="24"/>
              </w:rPr>
              <w:t xml:space="preserve">COFFEE BREAK Tipo 2</w:t>
            </w:r>
            <w:r/>
          </w:p>
        </w:tc>
        <w:tc>
          <w:tcPr>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lang w:val="en-US"/>
              </w:rPr>
            </w:pPr>
            <w:r>
              <w:rPr>
                <w:rFonts w:ascii="Arial" w:hAnsi="Arial" w:cs="Arial"/>
                <w:sz w:val="24"/>
                <w:szCs w:val="24"/>
                <w:lang w:val="en-US"/>
              </w:rPr>
              <w:t xml:space="preserve">3</w:t>
            </w:r>
            <w:r/>
          </w:p>
        </w:tc>
        <w:tc>
          <w:tcPr>
            <w:tcBorders>
              <w:top w:val="single" w:color="auto" w:sz="4" w:space="0"/>
              <w:left w:val="none" w:color="000000" w:sz="4" w:space="0"/>
              <w:bottom w:val="single" w:color="auto" w:sz="4" w:space="0"/>
              <w:right w:val="single" w:color="auto" w:sz="4" w:space="0"/>
            </w:tcBorders>
            <w:tcW w:w="1276" w:type="dxa"/>
            <w:textDirection w:val="lrTb"/>
            <w:noWrap w:val="false"/>
          </w:tcPr>
          <w:p>
            <w:pPr>
              <w:ind w:left="87" w:hanging="87"/>
              <w:jc w:val="center"/>
              <w:spacing w:line="276" w:lineRule="auto"/>
              <w:rPr>
                <w:rFonts w:ascii="Arial" w:hAnsi="Arial" w:cs="Arial"/>
                <w:bCs/>
                <w:color w:val="000000"/>
                <w:sz w:val="24"/>
                <w:szCs w:val="24"/>
                <w:shd w:val="clear" w:color="auto" w:fill="ffffff"/>
              </w:rPr>
            </w:pPr>
            <w:r>
              <w:rPr>
                <w:rFonts w:ascii="Arial" w:hAnsi="Arial" w:cs="Arial"/>
                <w:sz w:val="24"/>
                <w:szCs w:val="24"/>
              </w:rPr>
              <w:t xml:space="preserve">12087</w:t>
            </w:r>
            <w:r/>
          </w:p>
        </w:tc>
        <w:tc>
          <w:tcPr>
            <w:shd w:val="clear" w:color="auto" w:fill="auto"/>
            <w:tcBorders>
              <w:top w:val="single" w:color="auto" w:sz="4" w:space="0"/>
              <w:left w:val="single" w:color="auto" w:sz="4" w:space="0"/>
              <w:bottom w:val="single" w:color="auto" w:sz="4" w:space="0"/>
              <w:right w:val="single" w:color="auto" w:sz="4" w:space="0"/>
            </w:tcBorders>
            <w:tcW w:w="1129" w:type="dxa"/>
            <w:textDirection w:val="lrTb"/>
            <w:noWrap/>
          </w:tcPr>
          <w:p>
            <w:pPr>
              <w:jc w:val="center"/>
              <w:spacing w:line="276" w:lineRule="auto"/>
              <w:rPr>
                <w:rFonts w:ascii="Arial" w:hAnsi="Arial" w:cs="Arial"/>
                <w:color w:val="000000"/>
                <w:sz w:val="24"/>
                <w:szCs w:val="24"/>
                <w:lang w:val="en-US"/>
              </w:rPr>
            </w:pPr>
            <w:r>
              <w:rPr>
                <w:rFonts w:ascii="Arial" w:hAnsi="Arial" w:cs="Arial"/>
                <w:sz w:val="24"/>
                <w:szCs w:val="24"/>
              </w:rP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855" w:type="dxa"/>
            <w:textDirection w:val="lrTb"/>
            <w:noWrap/>
          </w:tcPr>
          <w:p>
            <w:pPr>
              <w:jc w:val="center"/>
              <w:spacing w:line="276" w:lineRule="auto"/>
              <w:rPr>
                <w:rFonts w:ascii="Arial" w:hAnsi="Arial" w:cs="Arial"/>
                <w:color w:val="000000"/>
                <w:sz w:val="24"/>
                <w:szCs w:val="24"/>
                <w:lang w:val="en-US"/>
              </w:rPr>
            </w:pPr>
            <w:r>
              <w:rPr>
                <w:rFonts w:ascii="Arial" w:hAnsi="Arial" w:cs="Arial"/>
                <w:sz w:val="24"/>
                <w:szCs w:val="24"/>
              </w:rPr>
              <w:t xml:space="preserve">UNI</w:t>
            </w:r>
            <w:r/>
          </w:p>
        </w:tc>
        <w:tc>
          <w:tcPr>
            <w:tcBorders>
              <w:top w:val="single" w:color="auto" w:sz="4" w:space="0"/>
              <w:left w:val="none" w:color="000000" w:sz="4" w:space="0"/>
              <w:bottom w:val="single" w:color="auto" w:sz="4" w:space="0"/>
              <w:right w:val="single" w:color="auto" w:sz="4" w:space="0"/>
            </w:tcBorders>
            <w:tcW w:w="2835" w:type="dxa"/>
            <w:textDirection w:val="lrTb"/>
            <w:noWrap w:val="false"/>
          </w:tcPr>
          <w:p>
            <w:pPr>
              <w:jc w:val="both"/>
              <w:spacing w:line="276" w:lineRule="auto"/>
              <w:rPr>
                <w:rFonts w:ascii="Arial" w:hAnsi="Arial" w:cs="Arial"/>
                <w:sz w:val="24"/>
                <w:szCs w:val="24"/>
              </w:rPr>
            </w:pPr>
            <w:r>
              <w:rPr>
                <w:rFonts w:ascii="Arial" w:hAnsi="Arial" w:cs="Arial"/>
                <w:sz w:val="24"/>
                <w:szCs w:val="24"/>
              </w:rPr>
              <w:t xml:space="preserve">ALMOÇO/JANTAR</w:t>
            </w:r>
            <w:r/>
          </w:p>
        </w:tc>
        <w:tc>
          <w:tcPr>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jc w:val="center"/>
              <w:spacing w:line="276" w:lineRule="auto"/>
              <w:rPr>
                <w:rFonts w:ascii="Arial" w:hAnsi="Arial" w:cs="Arial"/>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r>
      <w:tr>
        <w:trPr>
          <w:trHeight w:val="439"/>
        </w:trPr>
        <w:tc>
          <w:tcPr>
            <w:gridSpan w:val="5"/>
            <w:shd w:val="clear" w:color="auto" w:fill="auto"/>
            <w:tcBorders>
              <w:top w:val="single" w:color="auto" w:sz="4" w:space="0"/>
              <w:left w:val="single" w:color="auto" w:sz="4" w:space="0"/>
              <w:bottom w:val="single" w:color="auto" w:sz="4" w:space="0"/>
              <w:right w:val="single" w:color="auto" w:sz="4" w:space="0"/>
            </w:tcBorders>
            <w:tcW w:w="6946" w:type="dxa"/>
            <w:textDirection w:val="lrTb"/>
            <w:noWrap/>
          </w:tcPr>
          <w:p>
            <w:pPr>
              <w:jc w:val="right"/>
              <w:spacing w:line="276" w:lineRule="auto"/>
              <w:rPr>
                <w:rFonts w:ascii="Arial" w:hAnsi="Arial" w:cs="Arial"/>
                <w:color w:val="000000"/>
                <w:sz w:val="24"/>
                <w:szCs w:val="24"/>
              </w:rPr>
            </w:pPr>
            <w:r>
              <w:rPr>
                <w:rFonts w:ascii="Arial" w:hAnsi="Arial" w:cs="Arial"/>
                <w:b/>
                <w:sz w:val="24"/>
                <w:szCs w:val="24"/>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2835" w:type="dxa"/>
            <w:vAlign w:val="center"/>
            <w:textDirection w:val="lrTb"/>
            <w:noWrap w:val="false"/>
          </w:tcPr>
          <w:p>
            <w:pPr>
              <w:jc w:val="center"/>
              <w:spacing w:line="276" w:lineRule="auto"/>
              <w:rPr>
                <w:rFonts w:ascii="Arial" w:hAnsi="Arial" w:cs="Arial"/>
                <w:color w:val="000000"/>
                <w:sz w:val="24"/>
                <w:szCs w:val="24"/>
              </w:rPr>
            </w:pPr>
            <w:r>
              <w:rPr>
                <w:rFonts w:ascii="Arial" w:hAnsi="Arial" w:cs="Arial" w:eastAsia="Times New Roman"/>
                <w:b/>
                <w:color w:val="FF0000"/>
                <w:sz w:val="24"/>
                <w:szCs w:val="24"/>
                <w:lang w:eastAsia="pt-BR"/>
              </w:rPr>
              <w:t xml:space="preserve">R$ </w:t>
            </w:r>
            <w:r>
              <w:rPr>
                <w:rFonts w:ascii="Arial" w:hAnsi="Arial" w:cs="Arial" w:eastAsia="Times New Roman"/>
                <w:b/>
                <w:color w:val="FF0000"/>
                <w:sz w:val="24"/>
                <w:szCs w:val="24"/>
                <w:lang w:eastAsia="pt-BR"/>
              </w:rPr>
              <w:t xml:space="preserve">XXX,XX</w:t>
            </w:r>
            <w:r/>
          </w:p>
        </w:tc>
      </w:tr>
    </w:tbl>
    <w:p>
      <w:pPr>
        <w:pStyle w:val="924"/>
        <w:contextualSpacing w:val="0"/>
        <w:ind w:left="0" w:right="49"/>
        <w:jc w:val="both"/>
        <w:spacing w:before="57" w:after="57" w:line="276" w:lineRule="auto"/>
        <w:tabs>
          <w:tab w:val="left" w:pos="851" w:leader="none"/>
        </w:tabs>
        <w:rPr>
          <w:rFonts w:ascii="Arial" w:hAnsi="Arial"/>
          <w:i/>
        </w:rPr>
      </w:pPr>
      <w:r>
        <w:rPr>
          <w:rFonts w:ascii="Arial" w:hAnsi="Arial"/>
          <w:i/>
        </w:rPr>
      </w:r>
      <w:r/>
    </w:p>
    <w:p>
      <w:pPr>
        <w:pStyle w:val="924"/>
        <w:contextualSpacing w:val="0"/>
        <w:ind w:left="0" w:right="49"/>
        <w:jc w:val="both"/>
        <w:spacing w:before="57" w:after="57" w:line="276" w:lineRule="auto"/>
        <w:tabs>
          <w:tab w:val="left" w:pos="851" w:leader="none"/>
        </w:tabs>
        <w:rPr>
          <w:rFonts w:ascii="Arial" w:hAnsi="Arial"/>
          <w:i/>
        </w:rPr>
      </w:pPr>
      <w:r>
        <w:rPr>
          <w:rFonts w:ascii="Arial" w:hAnsi="Arial"/>
          <w:i/>
        </w:rPr>
        <w:t xml:space="preserve">OBS.:O prazo de validade da proposta não será inferior a </w:t>
      </w:r>
      <w:r>
        <w:rPr>
          <w:rFonts w:ascii="Arial" w:hAnsi="Arial"/>
          <w:bCs/>
          <w:i/>
          <w:iCs/>
        </w:rPr>
        <w:t xml:space="preserve">90 (noventa</w:t>
      </w:r>
      <w:r>
        <w:rPr>
          <w:rFonts w:ascii="Arial" w:hAnsi="Arial"/>
          <w:i/>
        </w:rPr>
        <w:t xml:space="preserve">) </w:t>
      </w:r>
      <w:r>
        <w:rPr>
          <w:rFonts w:ascii="Arial" w:hAnsi="Arial"/>
          <w:bCs/>
          <w:i/>
          <w:iCs/>
        </w:rPr>
        <w:t xml:space="preserve">dias</w:t>
      </w:r>
      <w:r>
        <w:rPr>
          <w:rFonts w:ascii="Arial" w:hAnsi="Arial"/>
          <w:i/>
        </w:rPr>
        <w:t xml:space="preserve">, a contar da data de sua apresentação, consoante cláusula 6.5 do edital. </w:t>
      </w:r>
      <w:r/>
    </w:p>
    <w:p>
      <w:pPr>
        <w:pStyle w:val="1096"/>
        <w:jc w:val="both"/>
        <w:spacing w:before="57" w:after="57"/>
        <w:rPr>
          <w:rFonts w:ascii="Arial" w:hAnsi="Arial" w:eastAsia="Arial"/>
          <w:b/>
          <w:sz w:val="22"/>
          <w:szCs w:val="22"/>
        </w:rPr>
      </w:pPr>
      <w:r>
        <w:rPr>
          <w:rFonts w:ascii="Arial" w:hAnsi="Arial" w:eastAsia="Arial"/>
          <w:b/>
          <w:sz w:val="22"/>
          <w:szCs w:val="22"/>
        </w:rPr>
        <w:t xml:space="preserve">(local e data)</w:t>
      </w:r>
      <w:r/>
    </w:p>
    <w:p>
      <w:pPr>
        <w:pStyle w:val="1096"/>
        <w:jc w:val="both"/>
        <w:spacing w:before="57" w:after="57"/>
        <w:rPr>
          <w:rFonts w:ascii="Arial" w:hAnsi="Arial" w:eastAsia="Arial"/>
          <w:b/>
          <w:sz w:val="22"/>
          <w:szCs w:val="22"/>
        </w:rPr>
      </w:pPr>
      <w:r>
        <w:rPr>
          <w:rFonts w:ascii="Arial" w:hAnsi="Arial" w:eastAsia="Arial"/>
          <w:b/>
          <w:sz w:val="22"/>
          <w:szCs w:val="22"/>
        </w:rPr>
        <w:t xml:space="preserve">(nome completo, C.P.F., cargo ou função e assinatura do representante legal)</w:t>
      </w:r>
      <w:r/>
    </w:p>
    <w:p>
      <w:pPr>
        <w:pStyle w:val="1096"/>
        <w:jc w:val="both"/>
        <w:spacing w:before="57" w:after="57"/>
        <w:rPr>
          <w:rFonts w:ascii="Arial" w:hAnsi="Arial" w:eastAsia="Arial"/>
          <w:sz w:val="18"/>
        </w:rPr>
      </w:pPr>
      <w:r>
        <w:rPr>
          <w:rFonts w:ascii="Arial" w:hAnsi="Arial" w:eastAsia="Arial"/>
          <w:sz w:val="18"/>
        </w:rPr>
        <w:t xml:space="preserve">Proposta escrita, impressa nos moldes do Edital</w:t>
      </w:r>
      <w:r/>
    </w:p>
    <w:p>
      <w:pPr>
        <w:pStyle w:val="1096"/>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III:</w:t>
      </w:r>
      <w:r/>
    </w:p>
    <w:p>
      <w:pPr>
        <w:pStyle w:val="109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96"/>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FINANCEIRA</w:t>
      </w:r>
      <w:r/>
    </w:p>
    <w:p>
      <w:pPr>
        <w:pStyle w:val="109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XX.XXX.XX</w:t>
      </w:r>
      <w:r>
        <w:rPr>
          <w:rFonts w:ascii="Arial" w:hAnsi="Arial" w:cs="Arial" w:eastAsia="Arial"/>
          <w:sz w:val="24"/>
          <w:szCs w:val="24"/>
        </w:rPr>
        <w:t xml:space="preserve">X/XXXX-XX com sede na ____________________________, através de seu representante legal infra-assinado, (NOME) __________________________, nacionalidade _________, estado civil _________, profissão _________, portador da cédula de Identidade nº XXXXXXXXXX, </w:t>
      </w:r>
      <w:r>
        <w:rPr>
          <w:rFonts w:ascii="Arial" w:hAnsi="Arial" w:cs="Arial" w:eastAsia="Arial"/>
          <w:sz w:val="24"/>
          <w:szCs w:val="24"/>
        </w:rPr>
        <w:t xml:space="preserve">expedida pela XXXXX/XX, inscrito no C.P.F. sob o nº XXX.XXX.XXX-XX, residente e domiciliado a _______________________________________ em estrito cumprimento ao previsto no processo administrativo nº 26.701/2021, e processo licitatório Pregão Eletrônico nº </w:t>
      </w:r>
      <w:r>
        <w:rPr>
          <w:rFonts w:ascii="Arial" w:hAnsi="Arial" w:cs="Arial" w:eastAsia="Arial"/>
          <w:sz w:val="24"/>
          <w:szCs w:val="24"/>
        </w:rPr>
        <w:t xml:space="preserve">090/2022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96"/>
        <w:jc w:val="both"/>
        <w:spacing w:line="276" w:lineRule="auto"/>
        <w:rPr>
          <w:rFonts w:ascii="Arial" w:hAnsi="Arial" w:cs="Arial" w:eastAsia="Arial"/>
          <w:sz w:val="24"/>
          <w:szCs w:val="24"/>
        </w:rPr>
      </w:pPr>
      <w:r>
        <w:rPr>
          <w:rFonts w:ascii="Arial" w:hAnsi="Arial" w:cs="Arial" w:eastAsia="Arial"/>
          <w:sz w:val="24"/>
          <w:szCs w:val="24"/>
        </w:rPr>
      </w:r>
      <w:r/>
    </w:p>
    <w:p>
      <w:pPr>
        <w:pStyle w:val="1096"/>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96"/>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96"/>
        <w:jc w:val="both"/>
        <w:spacing w:line="276" w:lineRule="auto"/>
        <w:rPr>
          <w:rFonts w:ascii="Arial" w:hAnsi="Arial" w:cs="Arial" w:eastAsia="Arial"/>
          <w:sz w:val="24"/>
          <w:szCs w:val="24"/>
        </w:rPr>
      </w:pPr>
      <w:r>
        <w:rPr>
          <w:rFonts w:ascii="Arial" w:hAnsi="Arial" w:cs="Arial" w:eastAsia="Arial"/>
          <w:sz w:val="24"/>
          <w:szCs w:val="24"/>
        </w:rPr>
      </w:r>
      <w:r/>
    </w:p>
    <w:p>
      <w:pPr>
        <w:pStyle w:val="1096"/>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96"/>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96"/>
        <w:jc w:val="both"/>
        <w:spacing w:line="276" w:lineRule="auto"/>
        <w:rPr>
          <w:rFonts w:ascii="Arial" w:hAnsi="Arial" w:cs="Arial" w:eastAsia="Arial"/>
          <w:sz w:val="24"/>
          <w:szCs w:val="24"/>
        </w:rPr>
      </w:pPr>
      <w:r>
        <w:rPr>
          <w:rFonts w:ascii="Arial" w:hAnsi="Arial" w:cs="Arial" w:eastAsia="Arial"/>
          <w:sz w:val="24"/>
          <w:szCs w:val="24"/>
        </w:rPr>
      </w:r>
      <w:r/>
    </w:p>
    <w:p>
      <w:pPr>
        <w:pStyle w:val="1096"/>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96"/>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96"/>
        <w:jc w:val="both"/>
        <w:spacing w:line="276" w:lineRule="auto"/>
        <w:rPr>
          <w:rFonts w:ascii="Arial" w:hAnsi="Arial" w:cs="Arial" w:eastAsia="Arial"/>
          <w:sz w:val="24"/>
          <w:szCs w:val="24"/>
        </w:rPr>
      </w:pPr>
      <w:r>
        <w:rPr>
          <w:rFonts w:ascii="Arial" w:hAnsi="Arial" w:cs="Arial" w:eastAsia="Arial"/>
          <w:sz w:val="24"/>
          <w:szCs w:val="24"/>
        </w:rPr>
      </w:r>
      <w:r/>
    </w:p>
    <w:p>
      <w:pPr>
        <w:pStyle w:val="1096"/>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96"/>
        <w:jc w:val="both"/>
        <w:spacing w:line="276" w:lineRule="auto"/>
        <w:rPr>
          <w:rFonts w:ascii="Arial" w:hAnsi="Arial" w:cs="Arial" w:eastAsia="Arial"/>
          <w:sz w:val="24"/>
          <w:szCs w:val="24"/>
        </w:rPr>
      </w:pPr>
      <w:r>
        <w:rPr>
          <w:rFonts w:ascii="Arial" w:hAnsi="Arial" w:cs="Arial" w:eastAsia="Arial"/>
          <w:sz w:val="24"/>
          <w:szCs w:val="24"/>
        </w:rPr>
      </w:r>
      <w:r/>
    </w:p>
    <w:p>
      <w:pPr>
        <w:pStyle w:val="1096"/>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96"/>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96"/>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96"/>
        <w:jc w:val="both"/>
        <w:spacing w:line="276" w:lineRule="auto"/>
        <w:rPr>
          <w:rFonts w:ascii="Arial" w:hAnsi="Arial" w:cs="Arial" w:eastAsia="Arial"/>
          <w:sz w:val="24"/>
          <w:szCs w:val="24"/>
        </w:rPr>
      </w:pPr>
      <w:r>
        <w:rPr>
          <w:rFonts w:ascii="Arial" w:hAnsi="Arial" w:cs="Arial" w:eastAsia="Arial"/>
          <w:sz w:val="24"/>
          <w:szCs w:val="24"/>
        </w:rPr>
      </w:r>
      <w:r/>
    </w:p>
    <w:p>
      <w:pPr>
        <w:pStyle w:val="1096"/>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96"/>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891"/>
        <w:numPr>
          <w:ilvl w:val="2"/>
          <w:numId w:val="13"/>
        </w:numPr>
        <w:jc w:val="both"/>
        <w:spacing w:line="276" w:lineRule="auto"/>
        <w:tabs>
          <w:tab w:val="left" w:pos="0" w:leader="none"/>
        </w:tabs>
        <w:rPr>
          <w:u w:val="none"/>
        </w:rPr>
      </w:pPr>
      <w:r/>
      <w:bookmarkStart w:id="6" w:name="_fxx89wbbp9la"/>
      <w:r/>
      <w:bookmarkEnd w:id="6"/>
      <w:r>
        <w:rPr>
          <w:u w:val="none"/>
        </w:rPr>
        <w:t xml:space="preserve">(nome completo e CRC do contador responsável)</w:t>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096"/>
        <w:jc w:val="center"/>
        <w:rPr>
          <w:rFonts w:ascii="Arial" w:hAnsi="Arial" w:cs="Arial" w:eastAsia="Arial"/>
          <w:b/>
          <w:sz w:val="24"/>
          <w:szCs w:val="24"/>
          <w:u w:val="single"/>
        </w:rPr>
      </w:pPr>
      <w:r>
        <w:rPr>
          <w:rFonts w:ascii="Arial" w:hAnsi="Arial" w:cs="Arial" w:eastAsia="Arial"/>
          <w:b/>
          <w:sz w:val="24"/>
          <w:szCs w:val="24"/>
          <w:u w:val="single"/>
        </w:rPr>
      </w:r>
      <w:r/>
    </w:p>
    <w:p>
      <w:pPr>
        <w:pStyle w:val="1096"/>
        <w:jc w:val="center"/>
        <w:rPr>
          <w:rFonts w:ascii="Arial" w:hAnsi="Arial" w:cs="Arial" w:eastAsia="Arial"/>
          <w:b/>
          <w:sz w:val="24"/>
          <w:szCs w:val="24"/>
          <w:u w:val="single"/>
        </w:rPr>
      </w:pPr>
      <w:r>
        <w:rPr>
          <w:rFonts w:ascii="Arial" w:hAnsi="Arial" w:cs="Arial" w:eastAsia="Arial"/>
          <w:b/>
          <w:sz w:val="24"/>
          <w:szCs w:val="24"/>
          <w:u w:val="single"/>
        </w:rPr>
      </w:r>
      <w:r/>
    </w:p>
    <w:p>
      <w:pPr>
        <w:pStyle w:val="1096"/>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096"/>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e vinte e dois, de um lado o Município de Teresópolis através da </w:t>
      </w:r>
      <w:r>
        <w:rPr>
          <w:rFonts w:ascii="Arial" w:hAnsi="Arial" w:cs="Arial"/>
          <w:b/>
          <w:sz w:val="24"/>
          <w:szCs w:val="24"/>
        </w:rPr>
        <w:t xml:space="preserve">Secretaria Municipal 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 ato representado pelo FUNÇAO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COMPLETO ___________</w:t>
      </w:r>
      <w:r>
        <w:rPr>
          <w:rFonts w:ascii="Arial" w:hAnsi="Arial" w:cs="Arial" w:eastAsia="Arial"/>
          <w:sz w:val="24"/>
          <w:szCs w:val="24"/>
        </w:rPr>
        <w:t xml:space="preserve">___________ nacionalidade _________, estado civil _________, profissão _________, portador da cédula de Identidade nº XXXXXXXXXX, expedida pela XXXXX/XX, inscrito no C.P.F. sob o nº XXX.XXX.XXX-XX, e, de outro lado, a empresa ______________________________</w:t>
      </w:r>
      <w:r>
        <w:rPr>
          <w:rFonts w:ascii="Arial" w:hAnsi="Arial" w:cs="Arial" w:eastAsia="Arial"/>
          <w:sz w:val="24"/>
          <w:szCs w:val="24"/>
        </w:rPr>
        <w:t xml:space="preserve">______, portadora do CNPJ XX.XXX.XXX/XXXX-XX com sede na ____________________________, através de seu representante legal infra-assinado, (NOME) __________________________, nacionalidade _________, estado civil _________, profissão _________, portador da c</w:t>
      </w:r>
      <w:r>
        <w:rPr>
          <w:rFonts w:ascii="Arial" w:hAnsi="Arial" w:cs="Arial" w:eastAsia="Arial"/>
          <w:sz w:val="24"/>
          <w:szCs w:val="24"/>
        </w:rPr>
        <w:t xml:space="preserve">édula de Identidade nº XXXXXXXXXX, expedida pela XXXXX/XX, inscrito no C.P.F. sob o nº XXX.XXX.XXX-XX, residente e domiciliado a _______________________________________________________ vencedora e adjudicatária do processo licitatório Pregão Eletrônico nº </w:t>
      </w:r>
      <w:r>
        <w:rPr>
          <w:rFonts w:ascii="Arial" w:hAnsi="Arial" w:cs="Arial" w:eastAsia="Arial"/>
          <w:sz w:val="24"/>
          <w:szCs w:val="24"/>
        </w:rPr>
        <w:t xml:space="preserve">090</w:t>
      </w:r>
      <w:r>
        <w:rPr>
          <w:rFonts w:ascii="Arial" w:hAnsi="Arial" w:cs="Arial" w:eastAsia="Arial"/>
          <w:sz w:val="24"/>
          <w:szCs w:val="24"/>
        </w:rPr>
        <w:t xml:space="preserve">/2022 resultante no processo admini</w:t>
      </w:r>
      <w:r>
        <w:rPr>
          <w:rFonts w:ascii="Arial" w:hAnsi="Arial" w:cs="Arial" w:eastAsia="Arial"/>
          <w:sz w:val="24"/>
          <w:szCs w:val="24"/>
        </w:rPr>
        <w:t xml:space="preserve">strativo nº 26.701/2021, supra referido, doravante denominada simplesmente DETENTORA, resolvem firmar o presente instrumento, objetivando registrar o(s) preço(s) do(s) objeto(s) discriminado(s) na cláusula primeira, em conformidade com o ajustado a seguir:</w:t>
      </w:r>
      <w:r/>
    </w:p>
    <w:p>
      <w:pPr>
        <w:pStyle w:val="1096"/>
        <w:jc w:val="both"/>
        <w:spacing w:before="120" w:after="120" w:line="276" w:lineRule="auto"/>
        <w:rPr>
          <w:rFonts w:ascii="Arial" w:hAnsi="Arial" w:cs="Arial" w:eastAsia="Arial"/>
          <w:b/>
          <w:sz w:val="10"/>
          <w:szCs w:val="10"/>
        </w:rPr>
      </w:pPr>
      <w:r>
        <w:rPr>
          <w:rFonts w:ascii="Arial" w:hAnsi="Arial" w:cs="Arial" w:eastAsia="Arial"/>
          <w:b/>
          <w:sz w:val="10"/>
          <w:szCs w:val="10"/>
        </w:rPr>
      </w:r>
      <w:r/>
    </w:p>
    <w:p>
      <w:pPr>
        <w:pStyle w:val="1096"/>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096"/>
        <w:numPr>
          <w:ilvl w:val="1"/>
          <w:numId w:val="17"/>
        </w:numPr>
        <w:ind w:left="851" w:hanging="142"/>
        <w:jc w:val="both"/>
        <w:spacing w:before="120" w:after="120" w:line="360" w:lineRule="auto"/>
        <w:rPr>
          <w:sz w:val="24"/>
          <w:szCs w:val="24"/>
        </w:rPr>
      </w:pPr>
      <w:r>
        <w:rPr>
          <w:rFonts w:ascii="Arial" w:hAnsi="Arial" w:cs="Arial" w:eastAsia="Arial"/>
          <w:sz w:val="24"/>
          <w:szCs w:val="24"/>
        </w:rPr>
        <w:t xml:space="preserve">Constitui objeto desta ata o registro do preço, para fornecimento pela DETENTORA, ao Município de Teresópolis do(s) seguinte(s) objeto: realizar </w:t>
      </w:r>
      <w:r>
        <w:rPr>
          <w:rFonts w:ascii="Arial" w:hAnsi="Arial" w:eastAsia="Arial"/>
          <w:b/>
          <w:sz w:val="24"/>
          <w:szCs w:val="24"/>
        </w:rPr>
        <w:t xml:space="preserve">REGISTRO DE PREÇOS, PELO PERÍODO DE 12 (DOZE) MESES, PARA FUTURA CONTRATAÇÃO DE SERVIÇO DE BUFFET PARA AS SECRETARIAS MUNICIPAIS DE EDUCAÇÃO E DE GOVERNO E COORDENAÇÃO</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 </w:t>
      </w:r>
      <w:r>
        <w:rPr>
          <w:rFonts w:ascii="Arial" w:hAnsi="Arial" w:cs="Arial" w:eastAsia="Arial"/>
          <w:sz w:val="24"/>
          <w:szCs w:val="24"/>
        </w:rPr>
        <w:t xml:space="preserve">conforme processo licitatório Pregão Eletrônico nº </w:t>
      </w:r>
      <w:r>
        <w:rPr>
          <w:rFonts w:ascii="Arial" w:hAnsi="Arial" w:cs="Arial" w:eastAsia="Arial"/>
          <w:sz w:val="24"/>
          <w:szCs w:val="24"/>
        </w:rPr>
        <w:t xml:space="preserve">090</w:t>
      </w:r>
      <w:r>
        <w:rPr>
          <w:rFonts w:ascii="Arial" w:hAnsi="Arial" w:cs="Arial" w:eastAsia="Arial"/>
          <w:sz w:val="24"/>
          <w:szCs w:val="24"/>
        </w:rPr>
        <w:t xml:space="preserve">/2022</w:t>
      </w:r>
      <w:r>
        <w:rPr>
          <w:rFonts w:ascii="Arial" w:hAnsi="Arial" w:cs="Arial" w:eastAsia="Arial"/>
          <w:b/>
          <w:sz w:val="24"/>
          <w:szCs w:val="24"/>
        </w:rPr>
        <w:t xml:space="preserve"> </w:t>
      </w:r>
      <w:r>
        <w:rPr>
          <w:rFonts w:ascii="Arial" w:hAnsi="Arial" w:cs="Arial" w:eastAsia="Arial"/>
          <w:sz w:val="24"/>
          <w:szCs w:val="24"/>
        </w:rPr>
        <w:t xml:space="preserve">resultante dos processos administrativos nº 26.701/2021, e a proposta da DETENTORA, cujos termos são parte integrante do presente instrumento.</w:t>
      </w:r>
      <w:r/>
    </w:p>
    <w:p>
      <w:pPr>
        <w:pStyle w:val="1096"/>
        <w:numPr>
          <w:ilvl w:val="1"/>
          <w:numId w:val="17"/>
        </w:numPr>
        <w:ind w:left="851" w:hanging="142"/>
        <w:jc w:val="both"/>
        <w:spacing w:before="120" w:after="120" w:line="276" w:lineRule="auto"/>
        <w:rPr>
          <w:sz w:val="24"/>
          <w:szCs w:val="24"/>
        </w:rPr>
      </w:pPr>
      <w:r>
        <w:rPr>
          <w:color w:val="000000" w:themeColor="text1"/>
          <w:sz w:val="24"/>
          <w:szCs w:val="24"/>
        </w:rPr>
        <w:t xml:space="preserve">As despesas inerentes ao Termo de Referência correrão à conta da Dotação Orçamentária</w:t>
      </w:r>
      <w:r/>
    </w:p>
    <w:p>
      <w:pPr>
        <w:numPr>
          <w:ilvl w:val="2"/>
          <w:numId w:val="17"/>
        </w:numPr>
        <w:ind w:left="1701" w:hanging="283"/>
        <w:jc w:val="both"/>
        <w:spacing w:before="57" w:after="57" w:line="360" w:lineRule="auto"/>
        <w:rPr>
          <w:rFonts w:ascii="Arial" w:hAnsi="Arial" w:cs="Arial"/>
          <w:sz w:val="24"/>
          <w:szCs w:val="24"/>
        </w:rPr>
      </w:pPr>
      <w:r>
        <w:rPr>
          <w:rFonts w:ascii="Arial" w:hAnsi="Arial" w:cs="Arial"/>
          <w:sz w:val="24"/>
          <w:szCs w:val="24"/>
        </w:rPr>
        <w:t xml:space="preserve">Secretaria Municipal de Educação:</w:t>
      </w:r>
      <w:r/>
    </w:p>
    <w:p>
      <w:pPr>
        <w:ind w:left="1134"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02.009.12.122.0001.2043   </w:t>
      </w:r>
      <w:r>
        <w:rPr>
          <w:rFonts w:ascii="Arial" w:hAnsi="Arial"/>
          <w:b/>
          <w:bCs/>
          <w:sz w:val="24"/>
          <w:szCs w:val="24"/>
        </w:rPr>
        <w:t xml:space="preserve">3.3.90.39.00.00   </w:t>
      </w:r>
      <w:r>
        <w:rPr>
          <w:rFonts w:ascii="Arial" w:hAnsi="Arial"/>
          <w:b/>
          <w:bCs/>
          <w:color w:val="000000" w:themeColor="text1"/>
          <w:sz w:val="24"/>
          <w:szCs w:val="24"/>
        </w:rPr>
        <w:t xml:space="preserve">Fonte: 100    Conta: 327</w:t>
      </w:r>
      <w:r/>
    </w:p>
    <w:p>
      <w:pPr>
        <w:ind w:left="1134" w:firstLine="567"/>
        <w:jc w:val="both"/>
        <w:spacing w:before="57" w:after="57" w:line="360" w:lineRule="auto"/>
        <w:rPr>
          <w:rFonts w:ascii="Arial" w:hAnsi="Arial"/>
          <w:b/>
          <w:bCs/>
          <w:sz w:val="24"/>
          <w:szCs w:val="24"/>
        </w:rPr>
      </w:pPr>
      <w:r>
        <w:rPr>
          <w:rFonts w:ascii="Arial" w:hAnsi="Arial"/>
          <w:b/>
          <w:bCs/>
          <w:sz w:val="24"/>
          <w:szCs w:val="24"/>
        </w:rPr>
        <w:t xml:space="preserve">02.009.12.361.0034.2045   3.3.90.39.00.00   Fonte: 100    Conta: 377</w:t>
      </w:r>
      <w:r/>
    </w:p>
    <w:p>
      <w:pPr>
        <w:ind w:left="1134" w:firstLine="567"/>
        <w:jc w:val="both"/>
        <w:spacing w:before="57" w:after="57" w:line="360" w:lineRule="auto"/>
        <w:rPr>
          <w:rFonts w:ascii="Arial" w:hAnsi="Arial"/>
          <w:b/>
          <w:bCs/>
          <w:sz w:val="24"/>
          <w:szCs w:val="24"/>
        </w:rPr>
      </w:pPr>
      <w:r>
        <w:rPr>
          <w:rFonts w:ascii="Arial" w:hAnsi="Arial"/>
          <w:b/>
          <w:bCs/>
          <w:sz w:val="24"/>
          <w:szCs w:val="24"/>
        </w:rPr>
        <w:t xml:space="preserve">02.009.12.365.0034.2048   3.3.90.39.00.00   Fonte: 100    Conta: 424</w:t>
      </w:r>
      <w:r/>
    </w:p>
    <w:p>
      <w:pPr>
        <w:numPr>
          <w:ilvl w:val="2"/>
          <w:numId w:val="17"/>
        </w:numPr>
        <w:ind w:left="1701" w:hanging="283"/>
        <w:jc w:val="both"/>
        <w:spacing w:before="57" w:after="57" w:line="360" w:lineRule="auto"/>
        <w:rPr>
          <w:rFonts w:ascii="Arial" w:hAnsi="Arial" w:cs="Arial"/>
          <w:sz w:val="24"/>
          <w:szCs w:val="24"/>
        </w:rPr>
      </w:pPr>
      <w:r>
        <w:rPr>
          <w:rFonts w:ascii="Arial" w:hAnsi="Arial" w:cs="Arial"/>
          <w:sz w:val="24"/>
          <w:szCs w:val="24"/>
        </w:rPr>
        <w:t xml:space="preserve">Secretaria Municipal de Governo e Coordenação:</w:t>
      </w:r>
      <w:r/>
    </w:p>
    <w:p>
      <w:pPr>
        <w:ind w:left="1134"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02.001.04.122.0001.2003   3.3.90.39.00.00   Fonte: 100    Conta: 04</w:t>
      </w:r>
      <w:r/>
    </w:p>
    <w:p>
      <w:pPr>
        <w:pStyle w:val="1096"/>
        <w:numPr>
          <w:ilvl w:val="0"/>
          <w:numId w:val="17"/>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09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fornecimento do material registrado nesta Ata de Registro de Preços será requisitado a</w:t>
      </w:r>
      <w:r>
        <w:rPr>
          <w:rFonts w:ascii="Arial" w:hAnsi="Arial" w:cs="Arial" w:eastAsia="Arial"/>
          <w:sz w:val="24"/>
          <w:szCs w:val="24"/>
        </w:rPr>
        <w:t xml:space="preserve">través de cada unidade ao Departamento de Suprimento e Licitação, que providenciará, junto Procuradoria Geral do Município, a elaboração do Termo de Contrato ou aceitar instrumento equivalente, conforme o caso (Nota de Empenho/Carta Contrato/Autorização). </w:t>
      </w:r>
      <w:r/>
    </w:p>
    <w:p>
      <w:pPr>
        <w:pStyle w:val="1096"/>
        <w:ind w:left="1440"/>
        <w:jc w:val="both"/>
        <w:spacing w:before="120" w:after="120" w:line="276" w:lineRule="auto"/>
        <w:rPr>
          <w:sz w:val="10"/>
          <w:szCs w:val="10"/>
        </w:rPr>
      </w:pPr>
      <w:r>
        <w:rPr>
          <w:rFonts w:ascii="Arial" w:hAnsi="Arial" w:cs="Arial" w:eastAsia="Arial"/>
          <w:sz w:val="24"/>
          <w:szCs w:val="24"/>
        </w:rPr>
        <w:t xml:space="preserve"> </w:t>
      </w:r>
      <w:r/>
    </w:p>
    <w:p>
      <w:pPr>
        <w:pStyle w:val="1096"/>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PARA RETIRADA DO TERMO CONTRATUAL</w:t>
      </w:r>
      <w:r/>
    </w:p>
    <w:p>
      <w:pPr>
        <w:pStyle w:val="109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09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096"/>
        <w:ind w:left="1440"/>
        <w:jc w:val="both"/>
        <w:spacing w:before="120" w:after="120" w:line="276" w:lineRule="auto"/>
        <w:rPr>
          <w:sz w:val="10"/>
          <w:szCs w:val="10"/>
        </w:rPr>
      </w:pPr>
      <w:r>
        <w:rPr>
          <w:sz w:val="10"/>
          <w:szCs w:val="10"/>
        </w:rPr>
      </w:r>
      <w:r/>
    </w:p>
    <w:p>
      <w:pPr>
        <w:pStyle w:val="1096"/>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09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4" w:type="pct"/>
        <w:tblCellMar>
          <w:left w:w="15" w:type="dxa"/>
          <w:top w:w="15" w:type="dxa"/>
          <w:right w:w="15" w:type="dxa"/>
          <w:bottom w:w="15" w:type="dxa"/>
        </w:tblCellMar>
        <w:tblLook w:val="0000" w:firstRow="0" w:lastRow="0" w:firstColumn="0" w:lastColumn="0" w:noHBand="0" w:noVBand="0"/>
      </w:tblPr>
      <w:tblGrid>
        <w:gridCol w:w="849"/>
        <w:gridCol w:w="848"/>
        <w:gridCol w:w="754"/>
        <w:gridCol w:w="1796"/>
        <w:gridCol w:w="1129"/>
        <w:gridCol w:w="1987"/>
        <w:gridCol w:w="1700"/>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096"/>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096"/>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096"/>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XXX.XXX,XX</w:t>
            </w:r>
            <w:r/>
          </w:p>
        </w:tc>
      </w:tr>
    </w:tbl>
    <w:p>
      <w:pPr>
        <w:pStyle w:val="1096"/>
        <w:ind w:left="720"/>
        <w:jc w:val="both"/>
        <w:spacing w:before="120" w:after="120" w:line="276" w:lineRule="auto"/>
        <w:rPr>
          <w:sz w:val="10"/>
          <w:szCs w:val="10"/>
        </w:rPr>
      </w:pPr>
      <w:r>
        <w:rPr>
          <w:sz w:val="10"/>
          <w:szCs w:val="10"/>
        </w:rPr>
      </w:r>
      <w:r/>
    </w:p>
    <w:p>
      <w:pPr>
        <w:pStyle w:val="1096"/>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QUINTA – DO REEQUILÍBRIO ECONÔMICO FINANCEIRO</w:t>
      </w:r>
      <w:r/>
    </w:p>
    <w:p>
      <w:pPr>
        <w:pStyle w:val="109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pelo Departamento de Suprimento e Licitação, em função da dinâmica do mercado, com redução de seu respectivo valor, obedecendo o Decreto Municipal 4.845/2017 e a seguinte metodologia.</w:t>
      </w:r>
      <w:r/>
    </w:p>
    <w:p>
      <w:pPr>
        <w:pStyle w:val="109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w:t>
      </w:r>
      <w:r>
        <w:rPr>
          <w:rFonts w:ascii="Arial" w:hAnsi="Arial" w:cs="Arial" w:eastAsia="Arial"/>
          <w:sz w:val="24"/>
          <w:szCs w:val="24"/>
        </w:rPr>
        <w:t xml:space="preserve">eços registrados na Ata de Registro de Preços poderão ser majorados, visando a eficiência e economicidade do procedimento, desde que reste comprovado pel0o Detentor da Ata que o preço sofreu aumento imprevisível desde o momento da apresentação da proposta;</w:t>
      </w:r>
      <w:r/>
    </w:p>
    <w:p>
      <w:pPr>
        <w:pStyle w:val="1096"/>
        <w:numPr>
          <w:ilvl w:val="2"/>
          <w:numId w:val="17"/>
        </w:numPr>
        <w:ind w:left="1560" w:hanging="142"/>
        <w:jc w:val="both"/>
        <w:spacing w:before="120" w:after="120" w:line="276" w:lineRule="auto"/>
        <w:rPr>
          <w:sz w:val="24"/>
          <w:szCs w:val="24"/>
        </w:rPr>
      </w:pPr>
      <w:r>
        <w:rPr>
          <w:rFonts w:ascii="Arial" w:hAnsi="Arial" w:cs="Arial" w:eastAsia="Arial"/>
          <w:sz w:val="24"/>
          <w:szCs w:val="24"/>
        </w:rPr>
      </w:r>
      <w:r>
        <w:rPr>
          <w:rFonts w:ascii="Arial" w:hAnsi="Arial" w:cs="Arial" w:eastAsia="Arial"/>
          <w:sz w:val="24"/>
          <w:szCs w:val="24"/>
        </w:rPr>
        <w:t xml:space="preserve">O</w:t>
      </w:r>
      <w:r>
        <w:rPr>
          <w:rFonts w:ascii="Arial" w:hAnsi="Arial" w:cs="Arial" w:eastAsia="Arial"/>
          <w:sz w:val="24"/>
          <w:szCs w:val="24"/>
        </w:rPr>
        <w:t xml:space="preserve"> Detentor da Ata deverá protocolar através do link: https://teresopolis.1doc.com.br/b.php?pg=wp/wp&amp;itd=5. juntamente com os fatos e justificativas do pedido de majoração dos preços, bem como planilhas de composição de custos, notas fiscais, dentre outros d</w:t>
      </w:r>
      <w:r>
        <w:rPr>
          <w:rFonts w:ascii="Arial" w:hAnsi="Arial" w:cs="Arial" w:eastAsia="Arial"/>
          <w:sz w:val="24"/>
          <w:szCs w:val="24"/>
        </w:rPr>
        <w:t xml:space="preserve">ocumentos capazes de comprovar o pleito</w:t>
      </w:r>
      <w:r>
        <w:rPr>
          <w:rFonts w:ascii="Arial" w:hAnsi="Arial" w:cs="Arial" w:eastAsia="Arial"/>
          <w:sz w:val="24"/>
          <w:szCs w:val="24"/>
        </w:rPr>
        <w:t xml:space="preserve">;</w:t>
      </w:r>
      <w:r/>
    </w:p>
    <w:p>
      <w:pPr>
        <w:pStyle w:val="1096"/>
        <w:numPr>
          <w:ilvl w:val="3"/>
          <w:numId w:val="17"/>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096"/>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w:t>
      </w:r>
      <w:r/>
    </w:p>
    <w:p>
      <w:pPr>
        <w:pStyle w:val="1096"/>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órgão gerenciador decidirá com base nas necessidades da Administração, bem como pelos motivos e provas apresentadas pelo Detentor da Ata no prazo de 30 (trinta) dias, prorrogado por igual período.</w:t>
      </w:r>
      <w:r/>
    </w:p>
    <w:p>
      <w:pPr>
        <w:pStyle w:val="1096"/>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096"/>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A majoração do</w:t>
      </w:r>
      <w:r>
        <w:rPr>
          <w:rFonts w:ascii="Arial" w:hAnsi="Arial" w:cs="Arial" w:eastAsia="Arial"/>
          <w:sz w:val="24"/>
          <w:szCs w:val="24"/>
        </w:rPr>
        <w:t xml:space="preserve">s preços referente ao Contrato, 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096"/>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O novo preço somente será válido após sua publicação no Diário Oficial Eletrônico do Município e, para efeito de pagamento de fornecimentos </w:t>
      </w:r>
      <w:r>
        <w:rPr>
          <w:rFonts w:ascii="Arial" w:hAnsi="Arial" w:cs="Arial" w:eastAsia="Arial"/>
          <w:sz w:val="24"/>
          <w:szCs w:val="24"/>
        </w:rPr>
        <w:t xml:space="preserve">realizados entre a data do pedido de adequação e a data da publicação, o novo preço retroagirá à data do pedido de adequação formulado pela detentora.</w:t>
      </w:r>
      <w:r/>
    </w:p>
    <w:p>
      <w:pPr>
        <w:pStyle w:val="109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SEXTA – VALIDADE DO REGISTRO DE PREÇOS</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art. 4º, do Decreto Municipal nº. 4.845 de 07/02/2017.</w:t>
      </w:r>
      <w:r/>
    </w:p>
    <w:p>
      <w:pPr>
        <w:pStyle w:val="109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09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09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gerenciador de que trata o item 6.3 desta Ata de Registro de Preços fica condicionada à realização de estudo, pelos órgãos e pela</w:t>
      </w:r>
      <w:r>
        <w:rPr>
          <w:rFonts w:ascii="Arial" w:hAnsi="Arial" w:cs="Arial" w:eastAsia="Arial"/>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09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w:t>
      </w:r>
      <w:r>
        <w:rPr>
          <w:rFonts w:ascii="Arial" w:hAnsi="Arial" w:cs="Arial" w:eastAsia="Arial"/>
          <w:sz w:val="24"/>
          <w:szCs w:val="24"/>
        </w:rPr>
        <w:t xml:space="preserve"> observar os seguintes limitadores quantitativos, a serem fiscalizados pelo Órgão Gerenciador:</w:t>
      </w:r>
      <w:r/>
    </w:p>
    <w:p>
      <w:pPr>
        <w:pStyle w:val="109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096"/>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100% do quantitativo total da Ata de Registro de Preços. </w:t>
      </w:r>
      <w:r/>
    </w:p>
    <w:p>
      <w:pPr>
        <w:pStyle w:val="1096"/>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registrado na Ata de Registro de Preços.</w:t>
      </w:r>
      <w:r/>
    </w:p>
    <w:p>
      <w:pPr>
        <w:pStyle w:val="109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FORNECIMENTO E DO PRAZO DE ENTREGA</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entregues conforme solicitação da Secretaria, dentro do horário de funcionamento do setor respectivo, e recebidas por funcionário autorizado, de forma que será recusada </w:t>
      </w:r>
      <w:r>
        <w:rPr>
          <w:rFonts w:ascii="Arial" w:hAnsi="Arial" w:cs="Arial" w:eastAsia="Arial"/>
          <w:sz w:val="24"/>
          <w:szCs w:val="24"/>
        </w:rPr>
        <w:t xml:space="preserve">a entrega dos materiais quando estes forem realizados em desacordo com o solicitado, sem qualquer ônus ou penalidade para este Órgão Municipal.</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conforme disposto no inciso II do art. 2º do Decreto Municipal nº 4.845 de 07/02/2017.</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Contratos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execução do serviço ou de entrega do produto, conforme o caso será de </w:t>
      </w:r>
      <w:r>
        <w:rPr>
          <w:rFonts w:ascii="Arial" w:hAnsi="Arial" w:cs="Arial" w:eastAsia="Arial"/>
          <w:b/>
          <w:bCs/>
          <w:sz w:val="24"/>
          <w:szCs w:val="24"/>
        </w:rPr>
        <w:t xml:space="preserve">48</w:t>
      </w:r>
      <w:r>
        <w:rPr>
          <w:rFonts w:ascii="Arial" w:hAnsi="Arial" w:cs="Arial" w:eastAsia="Arial"/>
          <w:b/>
          <w:sz w:val="24"/>
          <w:szCs w:val="24"/>
        </w:rPr>
        <w:t xml:space="preserve"> (quarenta e oito) horas</w:t>
      </w:r>
      <w:r>
        <w:rPr>
          <w:rFonts w:ascii="Arial" w:hAnsi="Arial" w:cs="Arial" w:eastAsia="Arial"/>
          <w:sz w:val="24"/>
          <w:szCs w:val="24"/>
        </w:rPr>
        <w:t xml:space="preserve">, contados da data de recebimento pela DETENTORA de cada ordem de fornecimento;</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fornecimento decorrente da presente ata.</w:t>
      </w:r>
      <w:r/>
    </w:p>
    <w:p>
      <w:pPr>
        <w:pStyle w:val="109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OITAVA – DA FORMA DE PAGAMENTO</w:t>
      </w:r>
      <w:r/>
    </w:p>
    <w:p>
      <w:pPr>
        <w:pStyle w:val="1096"/>
        <w:numPr>
          <w:ilvl w:val="1"/>
          <w:numId w:val="17"/>
        </w:numPr>
        <w:ind w:left="709" w:hanging="142"/>
        <w:jc w:val="both"/>
        <w:spacing w:before="120" w:after="120" w:line="276" w:lineRule="auto"/>
        <w:rPr>
          <w:rFonts w:ascii="Arial" w:hAnsi="Arial"/>
          <w:b/>
          <w:sz w:val="24"/>
          <w:szCs w:val="24"/>
        </w:rPr>
      </w:pPr>
      <w:r>
        <w:rPr>
          <w:rFonts w:ascii="Arial" w:hAnsi="Arial" w:cs="Arial" w:eastAsia="Arial"/>
          <w:sz w:val="24"/>
          <w:szCs w:val="24"/>
        </w:rPr>
      </w:r>
      <w:r>
        <w:rPr>
          <w:rFonts w:ascii="Arial" w:hAnsi="Arial" w:cs="Arial" w:eastAsia="Arial"/>
          <w:sz w:val="24"/>
          <w:szCs w:val="24"/>
        </w:rPr>
        <w:t xml:space="preserve">O</w:t>
      </w:r>
      <w:r>
        <w:rPr>
          <w:rFonts w:ascii="Arial" w:hAnsi="Arial" w:cs="Arial" w:eastAsia="Arial"/>
          <w:sz w:val="24"/>
          <w:szCs w:val="24"/>
        </w:rPr>
        <w:t xml:space="preserve"> pagamento será efetuado no prazo máximo de até 30 (trinta) dias após a abertura do processo de pagamento que deverá ser realizada na forma digital, através do link: https://teresopolis.1doc.com.br/b.php?pg=wp/wp&amp;itd=5, devendo constar toda documentação ab</w:t>
      </w:r>
      <w:r>
        <w:rPr>
          <w:rFonts w:ascii="Arial" w:hAnsi="Arial" w:cs="Arial" w:eastAsia="Arial"/>
          <w:sz w:val="24"/>
          <w:szCs w:val="24"/>
        </w:rPr>
        <w:t xml:space="preserve">aixo elencada:</w:t>
      </w:r>
      <w:r>
        <w:rPr>
          <w:rFonts w:ascii="Arial" w:hAnsi="Arial" w:cs="Arial" w:eastAsia="Arial"/>
          <w:sz w:val="24"/>
          <w:szCs w:val="24"/>
        </w:rPr>
      </w:r>
      <w:r/>
    </w:p>
    <w:p>
      <w:pPr>
        <w:numPr>
          <w:ilvl w:val="2"/>
          <w:numId w:val="17"/>
        </w:numPr>
        <w:ind w:left="1418" w:hanging="76"/>
        <w:jc w:val="both"/>
        <w:spacing w:before="57" w:after="57" w:line="276" w:lineRule="auto"/>
        <w:tabs>
          <w:tab w:val="left" w:pos="1418" w:leader="none"/>
        </w:tabs>
        <w:rPr>
          <w:rFonts w:ascii="Arial" w:hAnsi="Arial" w:cs="Arial" w:eastAsia="Arial"/>
          <w:sz w:val="24"/>
          <w:szCs w:val="24"/>
        </w:rPr>
      </w:pPr>
      <w:r>
        <w:rPr>
          <w:rFonts w:ascii="Arial" w:hAnsi="Arial" w:cs="Arial" w:eastAsia="Arial"/>
          <w:sz w:val="24"/>
          <w:szCs w:val="24"/>
        </w:rPr>
      </w:r>
      <w:r>
        <w:rPr>
          <w:rFonts w:ascii="Arial" w:hAnsi="Arial" w:cs="Arial" w:eastAsia="Arial"/>
          <w:sz w:val="24"/>
          <w:szCs w:val="24"/>
        </w:rPr>
        <w:t xml:space="preserve">A</w:t>
      </w:r>
      <w:r>
        <w:rPr>
          <w:rFonts w:ascii="Arial" w:hAnsi="Arial" w:cs="Arial" w:eastAsia="Arial"/>
          <w:sz w:val="24"/>
          <w:szCs w:val="24"/>
        </w:rPr>
        <w:t xml:space="preserve"> Contratada deverá ainda apresentar, a Nota de Empenho, Ordem de Compra, Documentação de Regularidade Fiscal com as Fazendas Federal, Estadual, Municipal, Certificado de Regularidade de situação relativo aos FGTS, Certidão Negativa de Débitos Trabalhistas </w:t>
      </w:r>
      <w:r>
        <w:rPr>
          <w:rFonts w:ascii="Arial" w:hAnsi="Arial" w:cs="Arial" w:eastAsia="Arial"/>
          <w:sz w:val="24"/>
          <w:szCs w:val="24"/>
        </w:rPr>
        <w:t xml:space="preserve">juntamente com a Nota Fiscal.</w:t>
      </w:r>
      <w:r>
        <w:rPr>
          <w:rFonts w:ascii="Arial" w:hAnsi="Arial" w:cs="Arial" w:eastAsia="Arial"/>
          <w:sz w:val="24"/>
          <w:szCs w:val="24"/>
        </w:rPr>
      </w:r>
      <w:r/>
    </w:p>
    <w:p>
      <w:pPr>
        <w:pStyle w:val="1096"/>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as Secretarias Municipais Solicitantes</w:t>
      </w:r>
      <w:r>
        <w:rPr>
          <w:rFonts w:ascii="Arial" w:hAnsi="Arial" w:cs="Arial" w:eastAsia="Arial"/>
          <w:sz w:val="24"/>
          <w:szCs w:val="24"/>
        </w:rPr>
        <w:t xml:space="preserve"> terá o prazo de dois (02) dias úteis, contados da data de recebimento do objeto;</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096"/>
        <w:numPr>
          <w:ilvl w:val="1"/>
          <w:numId w:val="17"/>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096"/>
        <w:ind w:left="144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09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NONA – DAS OUTRAS OBRIGAÇÕES DA DETENTORA</w:t>
      </w:r>
      <w:r/>
    </w:p>
    <w:p>
      <w:pPr>
        <w:pStyle w:val="1096"/>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096"/>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096"/>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096"/>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Contrato, em compatibilidade com as obrigações assumidas, perante os requisitos de habilitação e qualificação técnica exigidas neste Edital.</w:t>
      </w:r>
      <w:r/>
    </w:p>
    <w:p>
      <w:pPr>
        <w:pStyle w:val="1096"/>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09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DÉCIMA – DAS PENALIDADES</w:t>
      </w:r>
      <w:r/>
    </w:p>
    <w:p>
      <w:pPr>
        <w:pStyle w:val="109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096"/>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Contrato de fornecimento (quando exigível este), multa de 20% (vinte por cento) sobre o valor da nota de empenho ou do Contrato;</w:t>
      </w:r>
      <w:r/>
    </w:p>
    <w:p>
      <w:pPr>
        <w:pStyle w:val="1096"/>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924"/>
        <w:numPr>
          <w:ilvl w:val="1"/>
          <w:numId w:val="17"/>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 xml:space="preserve">que:</w:t>
      </w:r>
      <w:r/>
    </w:p>
    <w:p>
      <w:pPr>
        <w:pStyle w:val="924"/>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924"/>
        <w:numPr>
          <w:ilvl w:val="2"/>
          <w:numId w:val="17"/>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924"/>
        <w:numPr>
          <w:ilvl w:val="2"/>
          <w:numId w:val="17"/>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p>
    <w:p>
      <w:pPr>
        <w:pStyle w:val="924"/>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924"/>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924"/>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924"/>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924"/>
        <w:numPr>
          <w:ilvl w:val="1"/>
          <w:numId w:val="17"/>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 xml:space="preserve">sanções:</w:t>
      </w:r>
      <w:r/>
    </w:p>
    <w:p>
      <w:pPr>
        <w:pStyle w:val="924"/>
        <w:numPr>
          <w:ilvl w:val="2"/>
          <w:numId w:val="17"/>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quando se configurará a inexecução total ou parcial do ajuste.</w:t>
      </w:r>
      <w:r/>
    </w:p>
    <w:p>
      <w:pPr>
        <w:pStyle w:val="924"/>
        <w:numPr>
          <w:ilvl w:val="2"/>
          <w:numId w:val="17"/>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924"/>
        <w:numPr>
          <w:ilvl w:val="2"/>
          <w:numId w:val="17"/>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924"/>
        <w:numPr>
          <w:ilvl w:val="2"/>
          <w:numId w:val="17"/>
        </w:numPr>
        <w:ind w:left="1560" w:hanging="142"/>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924"/>
        <w:numPr>
          <w:ilvl w:val="2"/>
          <w:numId w:val="17"/>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924"/>
        <w:numPr>
          <w:ilvl w:val="1"/>
          <w:numId w:val="17"/>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 prevista no subitem 10.4.5 poderá ser aplicada à CONTRATADA </w:t>
      </w:r>
      <w:r>
        <w:rPr>
          <w:rFonts w:ascii="Arial" w:hAnsi="Arial" w:cs="Arial"/>
          <w:sz w:val="24"/>
          <w:szCs w:val="24"/>
        </w:rPr>
        <w:t xml:space="preserve">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924"/>
        <w:numPr>
          <w:ilvl w:val="1"/>
          <w:numId w:val="17"/>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924"/>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924"/>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924"/>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24"/>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10.6.1</w:t>
      </w:r>
      <w:r>
        <w:rPr>
          <w:rFonts w:ascii="Arial" w:hAnsi="Arial" w:cs="Arial"/>
          <w:sz w:val="24"/>
          <w:szCs w:val="24"/>
        </w:rPr>
        <w:t xml:space="preserve">, sendo certo que terá outros 5 (cinco) dias úteis para apresentação de recurso à autoridade máxima, que decidirá no prazo máximo de 30 (trinta) dias.</w:t>
      </w:r>
      <w:r/>
    </w:p>
    <w:p>
      <w:pPr>
        <w:pStyle w:val="924"/>
        <w:numPr>
          <w:ilvl w:val="1"/>
          <w:numId w:val="17"/>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924"/>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924"/>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 (Anexo I).</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09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Em todos os casos será garantido o contraditório, com o prazo de 05 (cinco) dias úteis, a contar da data da comunicação para apresentação de defesa através de documentação encaminhada à Secretaria Municipal de </w:t>
      </w:r>
      <w:r>
        <w:rPr>
          <w:rFonts w:ascii="Arial" w:hAnsi="Arial" w:cs="Arial"/>
          <w:sz w:val="24"/>
          <w:szCs w:val="24"/>
        </w:rPr>
        <w:t xml:space="preserve">Educação</w:t>
      </w:r>
      <w:r>
        <w:rPr>
          <w:rFonts w:ascii="Arial" w:hAnsi="Arial" w:cs="Arial" w:eastAsia="Arial"/>
          <w:sz w:val="24"/>
          <w:szCs w:val="24"/>
        </w:rPr>
        <w:t xml:space="preserve">, localizada na Avenida Feliciano Sodré, 595, 1º Andar, Várzea, Teresópolis, RJ.</w:t>
      </w:r>
      <w:r/>
    </w:p>
    <w:p>
      <w:pPr>
        <w:pStyle w:val="1096"/>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8.666/93.</w:t>
      </w:r>
      <w:r/>
    </w:p>
    <w:p>
      <w:pPr>
        <w:pStyle w:val="1096"/>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às secretarias participantes, observando o princípio da proporcionalidade.</w:t>
      </w:r>
      <w:r/>
    </w:p>
    <w:p>
      <w:pPr>
        <w:pStyle w:val="1096"/>
        <w:ind w:left="709"/>
        <w:jc w:val="both"/>
        <w:spacing w:before="120" w:after="120" w:line="276" w:lineRule="auto"/>
        <w:rPr>
          <w:rFonts w:ascii="Arial" w:hAnsi="Arial" w:cs="Arial"/>
          <w:sz w:val="24"/>
          <w:szCs w:val="24"/>
        </w:rPr>
      </w:pPr>
      <w:r>
        <w:rPr>
          <w:rFonts w:ascii="Arial" w:hAnsi="Arial" w:cs="Arial"/>
          <w:sz w:val="24"/>
          <w:szCs w:val="24"/>
        </w:rPr>
      </w:r>
      <w:r/>
    </w:p>
    <w:p>
      <w:pPr>
        <w:pStyle w:val="1096"/>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PRESENTE ATA</w:t>
      </w:r>
      <w:r/>
    </w:p>
    <w:p>
      <w:pPr>
        <w:pStyle w:val="109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096"/>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096"/>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Contratos de fornecimento ou deixar de retirar notas de empenho, nos prazos previstos;</w:t>
      </w:r>
      <w:r/>
    </w:p>
    <w:p>
      <w:pPr>
        <w:pStyle w:val="1096"/>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09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09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11.1.1, 11.1.2 e 11.1.3 desta cláusula será feita pessoalmente ou por correspondência com aviso de recebimento;</w:t>
      </w:r>
      <w:r/>
    </w:p>
    <w:p>
      <w:pPr>
        <w:pStyle w:val="109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Contratos em geral, com as consequências legalmente previstas.</w:t>
      </w:r>
      <w:r/>
    </w:p>
    <w:p>
      <w:pPr>
        <w:pStyle w:val="1096"/>
        <w:ind w:left="851"/>
        <w:jc w:val="both"/>
        <w:spacing w:before="120" w:after="120" w:line="276" w:lineRule="auto"/>
        <w:rPr>
          <w:rFonts w:ascii="Arial" w:hAnsi="Arial" w:cs="Arial"/>
          <w:sz w:val="24"/>
          <w:szCs w:val="24"/>
        </w:rPr>
      </w:pPr>
      <w:r>
        <w:rPr>
          <w:rFonts w:ascii="Arial" w:hAnsi="Arial" w:cs="Arial"/>
          <w:sz w:val="24"/>
          <w:szCs w:val="24"/>
        </w:rPr>
      </w:r>
      <w:r/>
    </w:p>
    <w:p>
      <w:pPr>
        <w:pStyle w:val="1096"/>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SEGUNDA - DAS DISPOSIÇÕES GERAIS</w:t>
      </w:r>
      <w:r/>
    </w:p>
    <w:p>
      <w:pPr>
        <w:pStyle w:val="109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T</w:t>
      </w:r>
      <w:r>
        <w:rPr>
          <w:rFonts w:ascii="Arial" w:hAnsi="Arial" w:cs="Arial"/>
          <w:sz w:val="24"/>
          <w:szCs w:val="24"/>
        </w:rPr>
        <w:t xml:space="preserve">odos os requerimentos a serem realizados pelo contratado ou detentor de atas de registro de preços, decorrentes ou não de contratações posteriores à assinatura da ata, deverão ser formalizados através do link: https://teresopolis.1doc.com.br/b.php?pg=wp/wp</w:t>
      </w:r>
      <w:r>
        <w:rPr>
          <w:rFonts w:ascii="Arial" w:hAnsi="Arial" w:cs="Arial"/>
          <w:sz w:val="24"/>
          <w:szCs w:val="24"/>
        </w:rPr>
        <w:t xml:space="preserve">&amp;itd=5</w:t>
      </w:r>
      <w:r>
        <w:rPr>
          <w:rFonts w:ascii="Arial" w:hAnsi="Arial" w:cs="Arial"/>
          <w:sz w:val="24"/>
          <w:szCs w:val="24"/>
        </w:rPr>
        <w:t xml:space="preserve">.</w:t>
      </w:r>
      <w:r/>
    </w:p>
    <w:p>
      <w:pPr>
        <w:pStyle w:val="109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 decorrentes do presente ajuste.</w:t>
      </w:r>
      <w:r/>
    </w:p>
    <w:p>
      <w:pPr>
        <w:pStyle w:val="1096"/>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 _____________________________ (NOME).</w:t>
      </w:r>
      <w:r/>
    </w:p>
    <w:p>
      <w:pPr>
        <w:pStyle w:val="1096"/>
        <w:ind w:left="1440"/>
        <w:jc w:val="both"/>
        <w:spacing w:before="120" w:after="120" w:line="276" w:lineRule="auto"/>
        <w:rPr>
          <w:rFonts w:ascii="Arial" w:hAnsi="Arial" w:cs="Arial"/>
          <w:sz w:val="10"/>
          <w:szCs w:val="10"/>
        </w:rPr>
      </w:pPr>
      <w:r>
        <w:rPr>
          <w:rFonts w:ascii="Arial" w:hAnsi="Arial" w:cs="Arial"/>
          <w:sz w:val="10"/>
          <w:szCs w:val="10"/>
        </w:rPr>
      </w:r>
      <w:r/>
    </w:p>
    <w:p>
      <w:pPr>
        <w:pStyle w:val="1096"/>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096"/>
        <w:ind w:left="426"/>
        <w:jc w:val="center"/>
        <w:rPr>
          <w:rFonts w:ascii="Arial" w:hAnsi="Arial" w:cs="Arial"/>
          <w:b/>
          <w:sz w:val="24"/>
          <w:szCs w:val="24"/>
        </w:rPr>
      </w:pPr>
      <w:r>
        <w:rPr>
          <w:rFonts w:ascii="Arial" w:hAnsi="Arial" w:cs="Arial"/>
          <w:b/>
          <w:sz w:val="24"/>
          <w:szCs w:val="24"/>
        </w:rPr>
        <w:t xml:space="preserve">Função</w:t>
      </w:r>
      <w:r/>
    </w:p>
    <w:p>
      <w:pPr>
        <w:pStyle w:val="1096"/>
        <w:ind w:left="426"/>
        <w:jc w:val="center"/>
        <w:rPr>
          <w:rFonts w:ascii="Arial" w:hAnsi="Arial" w:cs="Arial"/>
          <w:b/>
          <w:sz w:val="24"/>
          <w:szCs w:val="24"/>
        </w:rPr>
      </w:pPr>
      <w:r>
        <w:rPr>
          <w:rFonts w:ascii="Arial" w:hAnsi="Arial" w:cs="Arial"/>
          <w:b/>
          <w:sz w:val="24"/>
          <w:szCs w:val="24"/>
        </w:rPr>
        <w:t xml:space="preserve">Matrícula</w:t>
      </w:r>
      <w:r/>
    </w:p>
    <w:p>
      <w:pPr>
        <w:pStyle w:val="1096"/>
        <w:ind w:left="567"/>
        <w:jc w:val="center"/>
        <w:rPr>
          <w:rFonts w:ascii="Arial" w:hAnsi="Arial" w:cs="Arial"/>
          <w:b/>
          <w:sz w:val="24"/>
          <w:szCs w:val="24"/>
        </w:rPr>
      </w:pPr>
      <w:r>
        <w:rPr>
          <w:rFonts w:ascii="Arial" w:hAnsi="Arial" w:cs="Arial"/>
          <w:b/>
          <w:sz w:val="24"/>
          <w:szCs w:val="24"/>
        </w:rPr>
      </w:r>
      <w:r/>
    </w:p>
    <w:p>
      <w:pPr>
        <w:pStyle w:val="1096"/>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096"/>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w:t>
      </w:r>
      <w:r/>
    </w:p>
    <w:p>
      <w:pPr>
        <w:pStyle w:val="1096"/>
        <w:jc w:val="center"/>
        <w:spacing w:before="57" w:after="57" w:line="276" w:lineRule="auto"/>
        <w:rPr>
          <w:rFonts w:ascii="Arial" w:hAnsi="Arial" w:eastAsia="Arial"/>
          <w:sz w:val="24"/>
          <w:szCs w:val="24"/>
          <w:u w:val="single"/>
        </w:rPr>
      </w:pPr>
      <w:r>
        <w:rPr>
          <w:rFonts w:ascii="Arial" w:hAnsi="Arial" w:eastAsia="Arial"/>
          <w:sz w:val="24"/>
          <w:szCs w:val="24"/>
          <w:u w:val="single"/>
        </w:rPr>
      </w:r>
      <w:r/>
    </w:p>
    <w:p>
      <w:pPr>
        <w:pStyle w:val="1096"/>
        <w:jc w:val="center"/>
        <w:spacing w:before="57" w:after="57" w:line="276" w:lineRule="auto"/>
        <w:rPr>
          <w:rFonts w:ascii="Arial" w:hAnsi="Arial" w:eastAsia="Arial"/>
          <w:b/>
          <w:sz w:val="24"/>
          <w:szCs w:val="24"/>
        </w:rPr>
      </w:pPr>
      <w:r>
        <w:rPr>
          <w:rFonts w:ascii="Arial" w:hAnsi="Arial" w:eastAsia="Arial"/>
          <w:b/>
          <w:sz w:val="24"/>
          <w:szCs w:val="24"/>
        </w:rPr>
        <w:t xml:space="preserve">MINUTA DE CONTRATO</w:t>
      </w:r>
      <w:r/>
    </w:p>
    <w:p>
      <w:pPr>
        <w:pStyle w:val="1096"/>
        <w:spacing w:before="57" w:after="57" w:line="276" w:lineRule="auto"/>
        <w:rPr>
          <w:rFonts w:ascii="Arial" w:hAnsi="Arial" w:eastAsia="Arial"/>
          <w:sz w:val="24"/>
          <w:szCs w:val="24"/>
        </w:rPr>
      </w:pPr>
      <w:r>
        <w:rPr>
          <w:rFonts w:ascii="Arial" w:hAnsi="Arial" w:eastAsia="Arial"/>
          <w:sz w:val="24"/>
          <w:szCs w:val="24"/>
        </w:rPr>
      </w:r>
      <w:r/>
    </w:p>
    <w:p>
      <w:pPr>
        <w:pStyle w:val="1082"/>
        <w:ind w:left="2834"/>
        <w:spacing w:before="57" w:after="57" w:line="276" w:lineRule="auto"/>
        <w:rPr>
          <w:rFonts w:ascii="Arial" w:hAnsi="Arial" w:eastAsia="Arial"/>
        </w:rPr>
      </w:pPr>
      <w:r/>
      <w:bookmarkStart w:id="7" w:name="_44y2ckw13u6g"/>
      <w:r/>
      <w:bookmarkEnd w:id="7"/>
      <w:r>
        <w:rPr>
          <w:rFonts w:ascii="Arial" w:hAnsi="Arial" w:eastAsia="Arial"/>
          <w:b w:val="0"/>
        </w:rPr>
        <w:t xml:space="preserve">CONTRATO que entre si firmam o PREFEITURA MUNICIPAL DE TERESÓPOLIS e a empresa ________________________., tendo por objeto o fornecimento pela empresa contratada, de ______________________________, na forma abaixo:</w:t>
      </w:r>
      <w:r/>
    </w:p>
    <w:p>
      <w:pPr>
        <w:pStyle w:val="924"/>
        <w:contextualSpacing w:val="0"/>
        <w:ind w:left="0" w:right="49"/>
        <w:jc w:val="both"/>
        <w:spacing w:before="57" w:after="57" w:line="276" w:lineRule="auto"/>
        <w:widowControl w:val="off"/>
        <w:tabs>
          <w:tab w:val="left" w:pos="284" w:leader="none"/>
        </w:tabs>
        <w:rPr>
          <w:rFonts w:ascii="Arial" w:hAnsi="Arial" w:eastAsia="Arial"/>
          <w:sz w:val="24"/>
          <w:szCs w:val="24"/>
          <w:highlight w:val="yellow"/>
        </w:rPr>
      </w:pPr>
      <w:r>
        <w:rPr>
          <w:rFonts w:ascii="Arial" w:hAnsi="Arial" w:eastAsia="Arial"/>
          <w:sz w:val="24"/>
          <w:szCs w:val="24"/>
        </w:rPr>
        <w:t xml:space="preserve">A PRE</w:t>
      </w:r>
      <w:r>
        <w:rPr>
          <w:rFonts w:ascii="Arial" w:hAnsi="Arial" w:eastAsia="Arial"/>
          <w:sz w:val="24"/>
          <w:szCs w:val="24"/>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eastAsia="Arial"/>
          <w:sz w:val="24"/>
          <w:szCs w:val="24"/>
          <w:u w:val="single"/>
        </w:rPr>
        <w:t xml:space="preserve">________________</w:t>
      </w:r>
      <w:r>
        <w:rPr>
          <w:rFonts w:ascii="Arial" w:hAnsi="Arial" w:eastAsia="Arial"/>
          <w:sz w:val="24"/>
          <w:szCs w:val="24"/>
        </w:rPr>
        <w:t xml:space="preserve">, nacionalidade, estado civil, profissão, portador d</w:t>
      </w:r>
      <w:r>
        <w:rPr>
          <w:rFonts w:ascii="Arial" w:hAnsi="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eastAsia="Arial"/>
          <w:sz w:val="24"/>
          <w:szCs w:val="24"/>
          <w:u w:val="single"/>
        </w:rPr>
        <w:t xml:space="preserve">____________________</w:t>
      </w:r>
      <w:r>
        <w:rPr>
          <w:rFonts w:ascii="Arial" w:hAnsi="Arial" w:eastAsia="Arial"/>
          <w:sz w:val="24"/>
          <w:szCs w:val="24"/>
        </w:rPr>
        <w:t xml:space="preserve">, inscrita no CNPJ/MF sob o nº, com sede na ___________________, neste ato representada pelo Sr. </w:t>
      </w:r>
      <w:r>
        <w:rPr>
          <w:rFonts w:ascii="Arial" w:hAnsi="Arial" w:eastAsia="Arial"/>
          <w:i/>
          <w:sz w:val="24"/>
          <w:szCs w:val="24"/>
          <w:u w:val="single"/>
        </w:rPr>
        <w:t xml:space="preserve">________________</w:t>
      </w:r>
      <w:r>
        <w:rPr>
          <w:rFonts w:ascii="Arial" w:hAnsi="Arial" w:eastAsia="Arial"/>
          <w:sz w:val="24"/>
          <w:szCs w:val="24"/>
        </w:rPr>
        <w:t xml:space="preserve">, nacionalidade, estado civil, profissão, portador da Carteira de Identidade nº ____________</w:t>
      </w:r>
      <w:r>
        <w:rPr>
          <w:rFonts w:ascii="Arial" w:hAnsi="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sz w:val="24"/>
          <w:szCs w:val="24"/>
          <w:u w:val="single"/>
        </w:rPr>
        <w:t xml:space="preserve">PRIMEIRA: DO OBJETO:</w:t>
      </w:r>
      <w:r>
        <w:rPr>
          <w:rFonts w:ascii="Arial" w:hAnsi="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eastAsia="Arial"/>
          <w:sz w:val="24"/>
          <w:szCs w:val="24"/>
          <w:u w:val="single"/>
        </w:rPr>
        <w:t xml:space="preserve">SEGUNDA:  DO PREÇO E CONDIÇÕES DE PAGAMENTO:</w:t>
      </w:r>
      <w:r>
        <w:rPr>
          <w:rFonts w:ascii="Arial" w:hAnsi="Arial" w:eastAsia="Arial"/>
          <w:sz w:val="24"/>
          <w:szCs w:val="24"/>
        </w:rPr>
        <w:t xml:space="preserve"> 2.1. O valor unitário de será de R$ ______ (______________); 2.1.1. - O valor global do presente é de R$ ___ (_______________) referente</w:t>
      </w:r>
      <w:r>
        <w:rPr>
          <w:rFonts w:ascii="Arial" w:hAnsi="Arial" w:eastAsia="Arial"/>
          <w:sz w:val="24"/>
          <w:szCs w:val="24"/>
        </w:rPr>
        <w:t xml:space="preserve">s à ____________________; 2.1.2. Os materiais / serviços serão entregues nos locais determinados pela Secretaria Municipal de _______, conforme solicitação; 2.2. - A Secretaria Municipal de ______________, atestará o recebimento dos ______________; 2.3. - </w:t>
      </w:r>
      <w:r>
        <w:rPr>
          <w:rFonts w:ascii="Arial" w:hAnsi="Arial" w:eastAsia="Arial"/>
          <w:sz w:val="24"/>
          <w:szCs w:val="24"/>
        </w:rPr>
        <w:t xml:space="preserve">O</w:t>
      </w:r>
      <w:r>
        <w:rPr>
          <w:rFonts w:ascii="Arial" w:hAnsi="Arial" w:eastAsia="Arial"/>
          <w:sz w:val="24"/>
          <w:szCs w:val="24"/>
        </w:rPr>
        <w:t xml:space="preserve"> pagamento das notas fiscais, devidamente atestadas pela Secretaria Municipal de _______________, será efetuado 30 (trinta) dias após o fornecimento do material, mediante requerimento em processo de pagamento, na forma digital, através do link: https://ter</w:t>
      </w:r>
      <w:r>
        <w:rPr>
          <w:rFonts w:ascii="Arial" w:hAnsi="Arial" w:eastAsia="Arial"/>
          <w:sz w:val="24"/>
          <w:szCs w:val="24"/>
        </w:rPr>
        <w:t xml:space="preserve">e</w:t>
      </w:r>
      <w:r>
        <w:rPr>
          <w:rFonts w:ascii="Arial" w:hAnsi="Arial" w:eastAsia="Arial"/>
          <w:sz w:val="24"/>
          <w:szCs w:val="24"/>
        </w:rPr>
        <w:t xml:space="preserve">sopolis.1doc.com.br/b.php?pg=wp/wp&amp;itd=5, devendo o licitante apresentar a Nota de Empenho, Ordem de Compra, Documentação de Regularidade Fiscal com as Fazendas Federal, Estadual, Municipal, Certificado de Regularidade de situação relativo aos FGTS, Certid</w:t>
      </w:r>
      <w:r>
        <w:rPr>
          <w:rFonts w:ascii="Arial" w:hAnsi="Arial" w:eastAsia="Arial"/>
          <w:sz w:val="24"/>
          <w:szCs w:val="24"/>
        </w:rPr>
        <w:t xml:space="preserve">ão Negativa de Débitos Trabalhistas juntamente com a Nota Fiscal. </w:t>
      </w:r>
      <w:r>
        <w:rPr>
          <w:rFonts w:ascii="Arial" w:hAnsi="Arial" w:eastAsia="Arial"/>
          <w:sz w:val="24"/>
          <w:szCs w:val="24"/>
        </w:rPr>
        <w:t xml:space="preserve">2.4. Ocorrendo </w:t>
      </w:r>
      <w:r>
        <w:rPr>
          <w:rFonts w:ascii="Arial" w:hAnsi="Arial" w:eastAsia="Arial"/>
          <w:sz w:val="24"/>
          <w:szCs w:val="24"/>
        </w:rPr>
        <w:t xml:space="preserve">atraso no pagamento dentro do prazo estabelecido, o valor será acrescido de 1% (um por cento) de juros de mora ao mês “pro rata tempore”, bem como, a título de compensação financeira, de 1% (um por cento) ao mês, pro rata dia. 2.5. Ocorrendo antecipação no</w:t>
      </w:r>
      <w:r>
        <w:rPr>
          <w:rFonts w:ascii="Arial" w:hAnsi="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eastAsia="Arial"/>
          <w:sz w:val="24"/>
          <w:szCs w:val="24"/>
        </w:rPr>
        <w:t xml:space="preserve">Março</w:t>
      </w:r>
      <w:r>
        <w:rPr>
          <w:rFonts w:ascii="Arial" w:hAnsi="Arial" w:eastAsia="Arial"/>
          <w:sz w:val="24"/>
          <w:szCs w:val="24"/>
        </w:rPr>
        <w:t xml:space="preserve"> de 1994, salvo se, ao contrário, Lei Federal estabelecer. </w:t>
      </w:r>
      <w:r>
        <w:rPr>
          <w:rFonts w:ascii="Arial" w:hAnsi="Arial" w:eastAsia="Arial"/>
          <w:sz w:val="24"/>
          <w:szCs w:val="24"/>
          <w:u w:val="single"/>
        </w:rPr>
        <w:t xml:space="preserve">TERCEIRA: DO FUNDAMENTO</w:t>
      </w:r>
      <w:r>
        <w:rPr>
          <w:rFonts w:ascii="Arial" w:hAnsi="Arial" w:eastAsia="Arial"/>
          <w:sz w:val="24"/>
          <w:szCs w:val="24"/>
        </w:rPr>
        <w:t xml:space="preserve"> – O presente Contrato é oriundo do proced</w:t>
      </w:r>
      <w:r>
        <w:rPr>
          <w:rFonts w:ascii="Arial" w:hAnsi="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eastAsia="Arial"/>
          <w:sz w:val="24"/>
          <w:szCs w:val="24"/>
          <w:u w:val="single"/>
        </w:rPr>
        <w:t xml:space="preserve">QUARTA: DOS RECURSOS FINANCEIROS E ORÇAMENTÁRIOS</w:t>
      </w:r>
      <w:r>
        <w:rPr>
          <w:rFonts w:ascii="Arial" w:hAnsi="Arial" w:eastAsia="Arial"/>
          <w:sz w:val="24"/>
          <w:szCs w:val="24"/>
        </w:rPr>
        <w:t xml:space="preserve"> - As despesas decorrentes do presente instrumento correrão por conta das seguintes Dotações Orç</w:t>
      </w:r>
      <w:r>
        <w:rPr>
          <w:rFonts w:ascii="Arial" w:hAnsi="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eastAsia="Arial"/>
          <w:sz w:val="24"/>
          <w:szCs w:val="24"/>
          <w:u w:val="single"/>
        </w:rPr>
        <w:t xml:space="preserve">QUINTA: DO PRAZO </w:t>
      </w:r>
      <w:r>
        <w:rPr>
          <w:rFonts w:ascii="Arial" w:hAnsi="Arial" w:eastAsia="Arial"/>
          <w:sz w:val="24"/>
          <w:szCs w:val="24"/>
        </w:rPr>
        <w:t xml:space="preserve">- 5.1. O presente contrato iniciar-se-á a partir da data de sua assinatura e terá vigência até o dia _______________. 5.2. Havendo necessidade e com pedido</w:t>
      </w:r>
      <w:r>
        <w:rPr>
          <w:rFonts w:ascii="Arial" w:hAnsi="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eastAsia="Arial"/>
          <w:sz w:val="24"/>
          <w:szCs w:val="24"/>
          <w:u w:val="single"/>
        </w:rPr>
        <w:t xml:space="preserve">SEXTA: DAS GARANTIAS</w:t>
      </w:r>
      <w:r>
        <w:rPr>
          <w:rFonts w:ascii="Arial" w:hAnsi="Arial" w:eastAsia="Arial"/>
          <w:sz w:val="24"/>
          <w:szCs w:val="24"/>
        </w:rPr>
        <w:t xml:space="preserve"> - 6.1.- Como gara</w:t>
      </w:r>
      <w:r>
        <w:rPr>
          <w:rFonts w:ascii="Arial" w:hAnsi="Arial" w:eastAsia="Arial"/>
          <w:sz w:val="24"/>
          <w:szCs w:val="24"/>
        </w:rPr>
        <w:t xml:space="preserve">ntia para o bom e fiel cumprimento do Contrato, a Contratada prestará garantia, dentre aquelas previstas no art. 56 da Lei Federal nº 8.666/1993, na proporção de 5% (cinco por cento) sobre o valor total do Contrato; 6.2.- A importância a que se refere o it</w:t>
      </w:r>
      <w:r>
        <w:rPr>
          <w:rFonts w:ascii="Arial" w:hAnsi="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eastAsia="Arial"/>
          <w:sz w:val="24"/>
          <w:szCs w:val="24"/>
          <w:u w:val="single"/>
        </w:rPr>
        <w:t xml:space="preserve">SÉTIMA: DAS PENALIDADES</w:t>
      </w:r>
      <w:r>
        <w:rPr>
          <w:rFonts w:ascii="Arial" w:hAnsi="Arial" w:eastAsia="Arial"/>
          <w:sz w:val="24"/>
          <w:szCs w:val="24"/>
        </w:rPr>
        <w:t xml:space="preserve">: 7. 1. </w:t>
      </w:r>
      <w:r>
        <w:rPr>
          <w:rFonts w:ascii="Arial" w:hAnsi="Arial"/>
          <w:sz w:val="24"/>
          <w:szCs w:val="24"/>
        </w:rPr>
        <w:t xml:space="preserve">Comete infração administrativa, a Contratada</w:t>
      </w:r>
      <w:r>
        <w:rPr>
          <w:rFonts w:ascii="Arial" w:hAnsi="Arial"/>
          <w:spacing w:val="-9"/>
          <w:sz w:val="24"/>
          <w:szCs w:val="24"/>
        </w:rPr>
        <w:t xml:space="preserve"> </w:t>
      </w:r>
      <w:r>
        <w:rPr>
          <w:rFonts w:ascii="Arial" w:hAnsi="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spacing w:val="3"/>
          <w:sz w:val="24"/>
          <w:szCs w:val="24"/>
        </w:rPr>
        <w:t xml:space="preserve"> </w:t>
      </w:r>
      <w:r>
        <w:rPr>
          <w:rFonts w:ascii="Arial" w:hAnsi="Arial"/>
          <w:sz w:val="24"/>
          <w:szCs w:val="24"/>
        </w:rPr>
        <w:t xml:space="preserve">contratação. 7.1.2. Ensejar o retardamento da execução do</w:t>
      </w:r>
      <w:r>
        <w:rPr>
          <w:rFonts w:ascii="Arial" w:hAnsi="Arial"/>
          <w:spacing w:val="-6"/>
          <w:sz w:val="24"/>
          <w:szCs w:val="24"/>
        </w:rPr>
        <w:t xml:space="preserve"> </w:t>
      </w:r>
      <w:r>
        <w:rPr>
          <w:rFonts w:ascii="Arial" w:hAnsi="Arial"/>
          <w:sz w:val="24"/>
          <w:szCs w:val="24"/>
        </w:rPr>
        <w:t xml:space="preserve">objeto. 7.1.3. Falhar ou fraudar na execução do</w:t>
      </w:r>
      <w:r>
        <w:rPr>
          <w:rFonts w:ascii="Arial" w:hAnsi="Arial"/>
          <w:spacing w:val="-1"/>
          <w:sz w:val="24"/>
          <w:szCs w:val="24"/>
        </w:rPr>
        <w:t xml:space="preserve"> </w:t>
      </w:r>
      <w:r>
        <w:rPr>
          <w:rFonts w:ascii="Arial" w:hAnsi="Arial"/>
          <w:sz w:val="24"/>
          <w:szCs w:val="24"/>
        </w:rPr>
        <w:t xml:space="preserve">contrato. 7.1.4. Comportar-se de modo</w:t>
      </w:r>
      <w:r>
        <w:rPr>
          <w:rFonts w:ascii="Arial" w:hAnsi="Arial"/>
          <w:spacing w:val="-6"/>
          <w:sz w:val="24"/>
          <w:szCs w:val="24"/>
        </w:rPr>
        <w:t xml:space="preserve"> </w:t>
      </w:r>
      <w:r>
        <w:rPr>
          <w:rFonts w:ascii="Arial" w:hAnsi="Arial"/>
          <w:sz w:val="24"/>
          <w:szCs w:val="24"/>
        </w:rPr>
        <w:t xml:space="preserve">inidôneo. 7.1.5. Cometer fraude</w:t>
      </w:r>
      <w:r>
        <w:rPr>
          <w:rFonts w:ascii="Arial" w:hAnsi="Arial"/>
          <w:spacing w:val="-4"/>
          <w:sz w:val="24"/>
          <w:szCs w:val="24"/>
        </w:rPr>
        <w:t xml:space="preserve"> </w:t>
      </w:r>
      <w:r>
        <w:rPr>
          <w:rFonts w:ascii="Arial" w:hAnsi="Arial"/>
          <w:sz w:val="24"/>
          <w:szCs w:val="24"/>
        </w:rPr>
        <w:t xml:space="preserve">fiscal. 7.1.6. Deixar de apresentar amostras, quando solicitadas. 7.1.7. Deixar de entregar ou apr</w:t>
      </w:r>
      <w:r>
        <w:rPr>
          <w:rFonts w:ascii="Arial" w:hAnsi="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 xml:space="preserve">moratória</w:t>
      </w:r>
      <w:r>
        <w:rPr>
          <w:rFonts w:ascii="Arial" w:hAnsi="Arial"/>
          <w:spacing w:val="-2"/>
          <w:sz w:val="24"/>
          <w:szCs w:val="24"/>
        </w:rPr>
        <w:t xml:space="preserve"> </w:t>
      </w:r>
      <w:r>
        <w:rPr>
          <w:rFonts w:ascii="Arial" w:hAnsi="Arial"/>
          <w:sz w:val="24"/>
          <w:szCs w:val="24"/>
        </w:rPr>
        <w:t xml:space="preserve">de</w:t>
      </w:r>
      <w:r>
        <w:rPr>
          <w:rFonts w:ascii="Arial" w:hAnsi="Arial"/>
          <w:spacing w:val="-2"/>
          <w:sz w:val="24"/>
          <w:szCs w:val="24"/>
        </w:rPr>
        <w:t xml:space="preserve"> 0,5</w:t>
      </w:r>
      <w:r>
        <w:rPr>
          <w:rFonts w:ascii="Arial" w:hAnsi="Arial"/>
          <w:sz w:val="24"/>
          <w:szCs w:val="24"/>
        </w:rPr>
        <w:t xml:space="preserve">% (meio por cento) </w:t>
      </w:r>
      <w:r>
        <w:rPr>
          <w:rFonts w:ascii="Arial" w:hAnsi="Arial"/>
          <w:sz w:val="24"/>
          <w:szCs w:val="24"/>
        </w:rPr>
        <w:t xml:space="preserve">calculada sobre a parte não cumpr</w:t>
      </w:r>
      <w:r>
        <w:rPr>
          <w:rFonts w:ascii="Arial" w:hAnsi="Arial"/>
          <w:sz w:val="24"/>
          <w:szCs w:val="24"/>
        </w:rPr>
        <w:t xml:space="preserve">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spacing w:val="-20"/>
          <w:sz w:val="24"/>
          <w:szCs w:val="24"/>
        </w:rPr>
        <w:t xml:space="preserve"> </w:t>
      </w:r>
      <w:r>
        <w:rPr>
          <w:rFonts w:ascii="Arial" w:hAnsi="Arial"/>
          <w:sz w:val="24"/>
          <w:szCs w:val="24"/>
        </w:rPr>
        <w:t xml:space="preserve">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 xml:space="preserve">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 xml:space="preserve">7.2.4.</w:t>
      </w:r>
      <w:r>
        <w:rPr>
          <w:rFonts w:ascii="Arial" w:hAnsi="Arial"/>
          <w:b/>
          <w:sz w:val="24"/>
          <w:szCs w:val="24"/>
        </w:rPr>
        <w:t xml:space="preserve"> </w:t>
      </w:r>
      <w:r>
        <w:rPr>
          <w:rFonts w:ascii="Arial" w:hAnsi="Arial"/>
          <w:sz w:val="24"/>
          <w:szCs w:val="24"/>
        </w:rPr>
        <w:t xml:space="preserve">Impedimento de licitar e contratar com órgãos e entidades da União com o consequente descredenciamento no SICAF pelo prazo de até cinco</w:t>
      </w:r>
      <w:r>
        <w:rPr>
          <w:rFonts w:ascii="Arial" w:hAnsi="Arial"/>
          <w:spacing w:val="-5"/>
          <w:sz w:val="24"/>
          <w:szCs w:val="24"/>
        </w:rPr>
        <w:t xml:space="preserve"> </w:t>
      </w:r>
      <w:r>
        <w:rPr>
          <w:rFonts w:ascii="Arial" w:hAnsi="Arial"/>
          <w:sz w:val="24"/>
          <w:szCs w:val="24"/>
        </w:rPr>
        <w:t xml:space="preserve">anos. 7.3. </w:t>
      </w:r>
      <w:r>
        <w:rPr>
          <w:rFonts w:ascii="Arial" w:hAnsi="Arial"/>
          <w:sz w:val="24"/>
          <w:szCs w:val="20"/>
          <w:shd w:val="clear" w:color="auto" w:fill="ffffff"/>
        </w:rPr>
        <w:t xml:space="preserve">A penalidade de multa pode ser aplicada cumulativamente com as demais sanções. 7.4. </w:t>
      </w:r>
      <w:r>
        <w:rPr>
          <w:rFonts w:ascii="Arial" w:hAnsi="Arial"/>
          <w:sz w:val="24"/>
          <w:szCs w:val="24"/>
        </w:rPr>
        <w:t xml:space="preserve">A aplicação de qualquer das penalidades </w:t>
      </w:r>
      <w:r>
        <w:rPr>
          <w:rFonts w:ascii="Arial" w:hAnsi="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spacing w:val="-9"/>
          <w:sz w:val="24"/>
          <w:szCs w:val="24"/>
        </w:rPr>
        <w:t xml:space="preserve"> </w:t>
      </w:r>
      <w:r>
        <w:rPr>
          <w:rFonts w:ascii="Arial" w:hAnsi="Arial"/>
          <w:sz w:val="24"/>
          <w:szCs w:val="24"/>
        </w:rPr>
        <w:t xml:space="preserve">autoridade</w:t>
      </w:r>
      <w:r>
        <w:rPr>
          <w:rFonts w:ascii="Arial" w:hAnsi="Arial"/>
          <w:spacing w:val="-8"/>
          <w:sz w:val="24"/>
          <w:szCs w:val="24"/>
        </w:rPr>
        <w:t xml:space="preserve"> </w:t>
      </w:r>
      <w:r>
        <w:rPr>
          <w:rFonts w:ascii="Arial" w:hAnsi="Arial"/>
          <w:sz w:val="24"/>
          <w:szCs w:val="24"/>
        </w:rPr>
        <w:t xml:space="preserve">competente,</w:t>
      </w:r>
      <w:r>
        <w:rPr>
          <w:rFonts w:ascii="Arial" w:hAnsi="Arial"/>
          <w:spacing w:val="-4"/>
          <w:sz w:val="24"/>
          <w:szCs w:val="24"/>
        </w:rPr>
        <w:t xml:space="preserve"> </w:t>
      </w:r>
      <w:r>
        <w:rPr>
          <w:rFonts w:ascii="Arial" w:hAnsi="Arial"/>
          <w:sz w:val="24"/>
          <w:szCs w:val="24"/>
        </w:rPr>
        <w:t xml:space="preserve">na</w:t>
      </w:r>
      <w:r>
        <w:rPr>
          <w:rFonts w:ascii="Arial" w:hAnsi="Arial"/>
          <w:spacing w:val="-8"/>
          <w:sz w:val="24"/>
          <w:szCs w:val="24"/>
        </w:rPr>
        <w:t xml:space="preserve"> </w:t>
      </w:r>
      <w:r>
        <w:rPr>
          <w:rFonts w:ascii="Arial" w:hAnsi="Arial"/>
          <w:sz w:val="24"/>
          <w:szCs w:val="24"/>
        </w:rPr>
        <w:t xml:space="preserve">aplicação</w:t>
      </w:r>
      <w:r>
        <w:rPr>
          <w:rFonts w:ascii="Arial" w:hAnsi="Arial"/>
          <w:spacing w:val="-7"/>
          <w:sz w:val="24"/>
          <w:szCs w:val="24"/>
        </w:rPr>
        <w:t xml:space="preserve"> </w:t>
      </w:r>
      <w:r>
        <w:rPr>
          <w:rFonts w:ascii="Arial" w:hAnsi="Arial"/>
          <w:sz w:val="24"/>
          <w:szCs w:val="24"/>
        </w:rPr>
        <w:t xml:space="preserve">das</w:t>
      </w:r>
      <w:r>
        <w:rPr>
          <w:rFonts w:ascii="Arial" w:hAnsi="Arial"/>
          <w:spacing w:val="-5"/>
          <w:sz w:val="24"/>
          <w:szCs w:val="24"/>
        </w:rPr>
        <w:t xml:space="preserve"> </w:t>
      </w:r>
      <w:r>
        <w:rPr>
          <w:rFonts w:ascii="Arial" w:hAnsi="Arial"/>
          <w:sz w:val="24"/>
          <w:szCs w:val="24"/>
        </w:rPr>
        <w:t xml:space="preserve">sanções,</w:t>
      </w:r>
      <w:r>
        <w:rPr>
          <w:rFonts w:ascii="Arial" w:hAnsi="Arial"/>
          <w:spacing w:val="-2"/>
          <w:sz w:val="24"/>
          <w:szCs w:val="24"/>
        </w:rPr>
        <w:t xml:space="preserve"> </w:t>
      </w:r>
      <w:r>
        <w:rPr>
          <w:rFonts w:ascii="Arial" w:hAnsi="Arial"/>
          <w:sz w:val="24"/>
          <w:szCs w:val="24"/>
        </w:rPr>
        <w:t xml:space="preserve">levará</w:t>
      </w:r>
      <w:r>
        <w:rPr>
          <w:rFonts w:ascii="Arial" w:hAnsi="Arial"/>
          <w:spacing w:val="-5"/>
          <w:sz w:val="24"/>
          <w:szCs w:val="24"/>
        </w:rPr>
        <w:t xml:space="preserve"> </w:t>
      </w:r>
      <w:r>
        <w:rPr>
          <w:rFonts w:ascii="Arial" w:hAnsi="Arial"/>
          <w:sz w:val="24"/>
          <w:szCs w:val="24"/>
        </w:rPr>
        <w:t xml:space="preserve">em</w:t>
      </w:r>
      <w:r>
        <w:rPr>
          <w:rFonts w:ascii="Arial" w:hAnsi="Arial"/>
          <w:spacing w:val="-3"/>
          <w:sz w:val="24"/>
          <w:szCs w:val="24"/>
        </w:rPr>
        <w:t xml:space="preserve"> </w:t>
      </w:r>
      <w:r>
        <w:rPr>
          <w:rFonts w:ascii="Arial" w:hAnsi="Arial"/>
          <w:sz w:val="24"/>
          <w:szCs w:val="24"/>
        </w:rPr>
        <w:t xml:space="preserve">consideração</w:t>
      </w:r>
      <w:r>
        <w:rPr>
          <w:rFonts w:ascii="Arial" w:hAnsi="Arial"/>
          <w:spacing w:val="-4"/>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gravidade</w:t>
      </w:r>
      <w:r>
        <w:rPr>
          <w:rFonts w:ascii="Arial" w:hAnsi="Arial"/>
          <w:spacing w:val="-3"/>
          <w:sz w:val="24"/>
          <w:szCs w:val="24"/>
        </w:rPr>
        <w:t xml:space="preserve"> </w:t>
      </w:r>
      <w:r>
        <w:rPr>
          <w:rFonts w:ascii="Arial" w:hAnsi="Arial"/>
          <w:sz w:val="24"/>
          <w:szCs w:val="24"/>
        </w:rPr>
        <w:t xml:space="preserve">da</w:t>
      </w:r>
      <w:r>
        <w:rPr>
          <w:rFonts w:ascii="Arial" w:hAnsi="Arial"/>
          <w:spacing w:val="-7"/>
          <w:sz w:val="24"/>
          <w:szCs w:val="24"/>
        </w:rPr>
        <w:t xml:space="preserve"> </w:t>
      </w:r>
      <w:r>
        <w:rPr>
          <w:rFonts w:ascii="Arial" w:hAnsi="Arial"/>
          <w:sz w:val="24"/>
          <w:szCs w:val="24"/>
        </w:rPr>
        <w:t xml:space="preserve">conduta</w:t>
      </w:r>
      <w:r>
        <w:rPr>
          <w:rFonts w:ascii="Arial" w:hAnsi="Arial"/>
          <w:spacing w:val="-7"/>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infrator,</w:t>
      </w:r>
      <w:r>
        <w:rPr>
          <w:rFonts w:ascii="Arial" w:hAnsi="Arial"/>
          <w:spacing w:val="-6"/>
          <w:sz w:val="24"/>
          <w:szCs w:val="24"/>
        </w:rPr>
        <w:t xml:space="preserve"> </w:t>
      </w:r>
      <w:r>
        <w:rPr>
          <w:rFonts w:ascii="Arial" w:hAnsi="Arial"/>
          <w:sz w:val="24"/>
          <w:szCs w:val="24"/>
        </w:rPr>
        <w:t xml:space="preserve">o</w:t>
      </w:r>
      <w:r>
        <w:rPr>
          <w:rFonts w:ascii="Arial" w:hAnsi="Arial"/>
          <w:spacing w:val="-3"/>
          <w:sz w:val="24"/>
          <w:szCs w:val="24"/>
        </w:rPr>
        <w:t xml:space="preserve"> </w:t>
      </w:r>
      <w:r>
        <w:rPr>
          <w:rFonts w:ascii="Arial" w:hAnsi="Arial"/>
          <w:sz w:val="24"/>
          <w:szCs w:val="24"/>
        </w:rPr>
        <w:t xml:space="preserve">caráter</w:t>
      </w:r>
      <w:r>
        <w:rPr>
          <w:rFonts w:ascii="Arial" w:hAnsi="Arial"/>
          <w:spacing w:val="-5"/>
          <w:sz w:val="24"/>
          <w:szCs w:val="24"/>
        </w:rPr>
        <w:t xml:space="preserve"> </w:t>
      </w:r>
      <w:r>
        <w:rPr>
          <w:rFonts w:ascii="Arial" w:hAnsi="Arial"/>
          <w:sz w:val="24"/>
          <w:szCs w:val="24"/>
        </w:rPr>
        <w:t xml:space="preserve">educativo</w:t>
      </w:r>
      <w:r>
        <w:rPr>
          <w:rFonts w:ascii="Arial" w:hAnsi="Arial"/>
          <w:spacing w:val="-4"/>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pena, bem como o dano causado à Administração, observado o princípio da</w:t>
      </w:r>
      <w:r>
        <w:rPr>
          <w:rFonts w:ascii="Arial" w:hAnsi="Arial"/>
          <w:spacing w:val="-7"/>
          <w:sz w:val="24"/>
          <w:szCs w:val="24"/>
        </w:rPr>
        <w:t xml:space="preserve"> </w:t>
      </w:r>
      <w:r>
        <w:rPr>
          <w:rFonts w:ascii="Arial" w:hAnsi="Arial"/>
          <w:sz w:val="24"/>
          <w:szCs w:val="24"/>
        </w:rPr>
        <w:t xml:space="preserve">proporcionalidade. 7.6. As penalidades serão obrigatoriamente registradas no</w:t>
      </w:r>
      <w:r>
        <w:rPr>
          <w:rFonts w:ascii="Arial" w:hAnsi="Arial"/>
          <w:spacing w:val="7"/>
          <w:sz w:val="24"/>
          <w:szCs w:val="24"/>
        </w:rPr>
        <w:t xml:space="preserve"> </w:t>
      </w:r>
      <w:r>
        <w:rPr>
          <w:rFonts w:ascii="Arial" w:hAnsi="Arial"/>
          <w:sz w:val="24"/>
          <w:szCs w:val="24"/>
        </w:rPr>
        <w:t xml:space="preserve">SICAF. 7.7. </w:t>
      </w:r>
      <w:r>
        <w:rPr>
          <w:rFonts w:ascii="Arial" w:hAnsi="Arial"/>
          <w:sz w:val="24"/>
          <w:szCs w:val="24"/>
          <w:shd w:val="clear" w:color="auto" w:fill="ffffff"/>
        </w:rPr>
        <w:t xml:space="preserve">As sanções por atos praticados no decorrer da contratação estão previstas no Termo de Referência. </w:t>
      </w:r>
      <w:r>
        <w:rPr>
          <w:rFonts w:ascii="Arial" w:hAnsi="Arial" w:eastAsia="Arial"/>
          <w:sz w:val="24"/>
          <w:szCs w:val="24"/>
          <w:u w:val="single"/>
        </w:rPr>
        <w:t xml:space="preserve">OITAVA: DA RESCISÃO-</w:t>
      </w:r>
      <w:r>
        <w:rPr>
          <w:rFonts w:ascii="Arial" w:hAnsi="Arial" w:eastAsia="Arial"/>
          <w:sz w:val="24"/>
          <w:szCs w:val="24"/>
        </w:rPr>
        <w:t xml:space="preserve"> Constituem motivos para a rescisão do presente contrato: 8.1. - O não cumprimento de cláusulas contratuais, especificações, projetos ou pra</w:t>
      </w:r>
      <w:r>
        <w:rPr>
          <w:rFonts w:ascii="Arial" w:hAnsi="Arial" w:eastAsia="Arial"/>
          <w:sz w:val="24"/>
          <w:szCs w:val="24"/>
        </w:rPr>
        <w:t xml:space="preserve">zos, ou o seu cumprimento irregular; 8.2.- A lentidão do seu cumprimento levando a Administração a comprovar a impossibilidade da conclusão do objeto contratual nos prazos estipulados; 8.3- O atraso injustificado no início da execução do objeto contratual;</w:t>
      </w:r>
      <w:r>
        <w:rPr>
          <w:rFonts w:ascii="Arial" w:hAnsi="Arial" w:eastAsia="Arial"/>
          <w:sz w:val="24"/>
          <w:szCs w:val="24"/>
        </w:rPr>
        <w:t xml:space="preserve"> 8.4. - A paralisação do fornecimento sem justa causa e prévia comunicação à Administração; 8.5.- A subcontratação total ou parcial do objeto contratual sem a concordância da Administração, a associação da contratada com outrem, sua cessão ou transferência</w:t>
      </w:r>
      <w:r>
        <w:rPr>
          <w:rFonts w:ascii="Arial" w:hAnsi="Arial" w:eastAsia="Arial"/>
          <w:sz w:val="24"/>
          <w:szCs w:val="24"/>
        </w:rPr>
        <w:t xml:space="preserve">, total ou parcial, bem como sua fusão, cisão ou incorporação; 8.6- O desatendimento das determinações regulares da autoridade designada para acompanhar e fiscalizar sua execução, assim como as de seus superiores; 8.7- O cometimento reiterado de faltas na </w:t>
      </w:r>
      <w:r>
        <w:rPr>
          <w:rFonts w:ascii="Arial" w:hAnsi="Arial" w:eastAsia="Arial"/>
          <w:sz w:val="24"/>
          <w:szCs w:val="24"/>
        </w:rPr>
        <w:t xml:space="preserve">sua execução, anotadas na forma do § 1º do art. 67 da lei 8666/93; 8.8 - A decretação de falência ou a instauração de insolvência civil; 8.9 - A dissolução da sociedade; 8.10- A alteração social ou a modificação da finalidade ou da estrutura da empresa, qu</w:t>
      </w:r>
      <w:r>
        <w:rPr>
          <w:rFonts w:ascii="Arial" w:hAnsi="Arial" w:eastAsia="Arial"/>
          <w:sz w:val="24"/>
          <w:szCs w:val="24"/>
        </w:rPr>
        <w:t xml:space="preserve">e prejudique a execução do contrato; 8.11- Razões de interesse  público, de  alta  relevância  e amplo conhecimento, justificadas e determinadas  pelo  Prefeito e exaradas no Processo Administrativo a que se refere o contrato; 8.12- A supressão, por parte </w:t>
      </w:r>
      <w:r>
        <w:rPr>
          <w:rFonts w:ascii="Arial" w:hAnsi="Arial" w:eastAsia="Arial"/>
          <w:sz w:val="24"/>
          <w:szCs w:val="24"/>
        </w:rPr>
        <w:t xml:space="preserve">da administração, de serviços, acarretando modificação do valor inicial do contrato, além do limite permitido no § 1º do Art. 65 da Lei 8666/93; 8.13- A suspensão de sua execução, por ordem escrita do Contratante, por prazo superior a 120  (cento e vinte) </w:t>
      </w:r>
      <w:r>
        <w:rPr>
          <w:rFonts w:ascii="Arial" w:hAnsi="Arial" w:eastAsia="Arial"/>
          <w:sz w:val="24"/>
          <w:szCs w:val="24"/>
        </w:rPr>
        <w:t xml:space="preserve">dias, salvo em caso de calamidade pública, grave perturbaç</w:t>
      </w:r>
      <w:r>
        <w:rPr>
          <w:rFonts w:ascii="Arial" w:hAnsi="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eastAsia="Arial"/>
          <w:sz w:val="24"/>
          <w:szCs w:val="24"/>
          <w:u w:val="single"/>
        </w:rPr>
        <w:t xml:space="preserve">PARÁGRAFO ÚNICO</w:t>
      </w:r>
      <w:r>
        <w:rPr>
          <w:rFonts w:ascii="Arial" w:hAnsi="Arial" w:eastAsia="Arial"/>
          <w:sz w:val="24"/>
          <w:szCs w:val="24"/>
        </w:rPr>
        <w:t xml:space="preserve">: Os casos de rescisão contratual serão formalmente motivados nos autos do Processo, assegurado à Contratada o Direito ao contraditório e a ampla defesa; </w:t>
      </w:r>
      <w:r>
        <w:rPr>
          <w:rFonts w:ascii="Arial" w:hAnsi="Arial" w:eastAsia="Arial"/>
          <w:sz w:val="24"/>
          <w:szCs w:val="24"/>
          <w:u w:val="single"/>
        </w:rPr>
        <w:t xml:space="preserve">NONA: DOS DIREITOS DA ADMINISTRAÇÃO:</w:t>
      </w:r>
      <w:r>
        <w:rPr>
          <w:rFonts w:ascii="Arial" w:hAnsi="Arial" w:eastAsia="Arial"/>
          <w:sz w:val="24"/>
          <w:szCs w:val="24"/>
        </w:rPr>
        <w:t xml:space="preserve"> Em caso de rescisão contratual é assegurado à Administração Municipal os s</w:t>
      </w:r>
      <w:r>
        <w:rPr>
          <w:rFonts w:ascii="Arial" w:hAnsi="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eastAsia="Arial"/>
          <w:sz w:val="24"/>
          <w:szCs w:val="24"/>
          <w:u w:val="single"/>
        </w:rPr>
        <w:t xml:space="preserve">DÉCIMA: DO REGIME DE EXECUÇÃO</w:t>
      </w:r>
      <w:r>
        <w:rPr>
          <w:rFonts w:ascii="Arial" w:hAnsi="Arial" w:eastAsia="Arial"/>
          <w:sz w:val="24"/>
          <w:szCs w:val="24"/>
        </w:rPr>
        <w:t xml:space="preserve">: O Contrato será executado pelo regime de execução indireta sob a modalidade de preço unitário. </w:t>
      </w:r>
      <w:r>
        <w:rPr>
          <w:rFonts w:ascii="Arial" w:hAnsi="Arial" w:eastAsia="Arial"/>
          <w:sz w:val="24"/>
          <w:szCs w:val="24"/>
          <w:u w:val="single"/>
        </w:rPr>
        <w:t xml:space="preserve">DÉCIMA PRIMEIRA: DA TAXA DE EXPEDIENTE:</w:t>
      </w:r>
      <w:r>
        <w:rPr>
          <w:rFonts w:ascii="Arial" w:hAnsi="Arial" w:eastAsia="Arial"/>
          <w:sz w:val="24"/>
          <w:szCs w:val="24"/>
        </w:rPr>
        <w:t xml:space="preserve"> Obriga-se a Contratada a proceder ao recolhimento da Taxa de Expediente, no ato de assinatura do presente. </w:t>
      </w:r>
      <w:r>
        <w:rPr>
          <w:rFonts w:ascii="Arial" w:hAnsi="Arial" w:eastAsia="Arial"/>
          <w:sz w:val="24"/>
          <w:szCs w:val="24"/>
          <w:u w:val="single"/>
        </w:rPr>
        <w:t xml:space="preserve">DÉCIMA- SEGUNDA: DA PUBLICAÇÃO:</w:t>
      </w:r>
      <w:r>
        <w:rPr>
          <w:rFonts w:ascii="Arial" w:hAnsi="Arial" w:eastAsia="Arial"/>
          <w:sz w:val="24"/>
          <w:szCs w:val="24"/>
        </w:rPr>
        <w:t xml:space="preserve"> Obriga-se a Contratante a proceder a publicação, em extrato, do presente, no prazo legal, no órgão de imprensa que publica as matérias oficiais deste Município. </w:t>
      </w:r>
      <w:r>
        <w:rPr>
          <w:rFonts w:ascii="Arial" w:hAnsi="Arial" w:eastAsia="Arial"/>
          <w:sz w:val="24"/>
          <w:szCs w:val="24"/>
          <w:u w:val="single"/>
        </w:rPr>
        <w:t xml:space="preserve">DÉCIMA- TERCEIRA: DA RESPONSABILIDADE</w:t>
      </w:r>
      <w:r>
        <w:rPr>
          <w:rFonts w:ascii="Arial" w:hAnsi="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eastAsia="Arial"/>
          <w:sz w:val="24"/>
          <w:szCs w:val="24"/>
          <w:u w:val="single"/>
        </w:rPr>
        <w:t xml:space="preserve">DÉCIMA- QUARTA: DOS ENCARGOS SOCIAIS</w:t>
      </w:r>
      <w:r>
        <w:rPr>
          <w:rFonts w:ascii="Arial" w:hAnsi="Arial" w:eastAsia="Arial"/>
          <w:sz w:val="24"/>
          <w:szCs w:val="24"/>
        </w:rPr>
        <w:t xml:space="preserve"> - 14.1. -  Todos os encargos sociais e as obrigações previstas na C.L.T. e respectiva legislação complementar, referente ao pessoal responsável pela consecução do</w:t>
      </w:r>
      <w:r>
        <w:rPr>
          <w:rFonts w:ascii="Arial" w:hAnsi="Arial" w:eastAsia="Arial"/>
          <w:sz w:val="24"/>
          <w:szCs w:val="24"/>
        </w:rPr>
        <w:t xml:space="preserve"> objeto contratual, serão de total responsabilidade da Contratada. 14.2.- O contratado se obriga a manter, durante toda a execução do contrato, no que diz respeito às suas obrigações, todas as condições de habilitação e qualificação exigidas na licitação; </w:t>
      </w:r>
      <w:r>
        <w:rPr>
          <w:rFonts w:ascii="Arial" w:hAnsi="Arial" w:eastAsia="Arial"/>
          <w:sz w:val="24"/>
          <w:szCs w:val="24"/>
          <w:u w:val="single"/>
        </w:rPr>
        <w:t xml:space="preserve">DÉCIMA- QUINTA: DA FISCALIZAÇÃO</w:t>
      </w:r>
      <w:r>
        <w:rPr>
          <w:rFonts w:ascii="Arial" w:hAnsi="Arial" w:eastAsia="Arial"/>
          <w:sz w:val="24"/>
          <w:szCs w:val="24"/>
        </w:rPr>
        <w:t xml:space="preserve"> - O Contratante, através da Secretaria Municipal de ____________, fiscalizará a execução do objeto ora contratado. </w:t>
      </w:r>
      <w:r>
        <w:rPr>
          <w:rFonts w:ascii="Arial" w:hAnsi="Arial" w:eastAsia="Arial"/>
          <w:sz w:val="24"/>
          <w:szCs w:val="24"/>
          <w:u w:val="single"/>
        </w:rPr>
        <w:t xml:space="preserve">DÉCIMA- SEXTA: DA ACEITAÇÃO </w:t>
      </w:r>
      <w:r>
        <w:rPr>
          <w:rFonts w:ascii="Arial" w:hAnsi="Arial" w:eastAsia="Arial"/>
          <w:sz w:val="24"/>
          <w:szCs w:val="24"/>
        </w:rPr>
        <w:t xml:space="preserve">- A aceitação do objeto contratual ficará a cargo da Secretaria fiscalizadora. 16.1.-. Em caso de recusa de parte ou de todo o serviço, </w:t>
      </w:r>
      <w:r>
        <w:rPr>
          <w:rFonts w:ascii="Arial" w:hAnsi="Arial" w:eastAsia="Arial"/>
          <w:sz w:val="24"/>
          <w:szCs w:val="24"/>
        </w:rPr>
        <w:t xml:space="preserve">o pagamento ficará sustado, até sua regularização, contando-se dessa época o prazo de pagamento fixado na Cláusula Segunda do presente</w:t>
      </w:r>
      <w:r>
        <w:rPr>
          <w:rFonts w:ascii="Arial" w:hAnsi="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eastAsia="Arial"/>
          <w:sz w:val="24"/>
          <w:szCs w:val="24"/>
          <w:u w:val="single"/>
        </w:rPr>
        <w:t xml:space="preserve">DÉCIMA-SÉTIMA: DO FORO</w:t>
      </w:r>
      <w:r>
        <w:rPr>
          <w:rFonts w:ascii="Arial" w:hAnsi="Arial" w:eastAsia="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w:t>
      </w:r>
      <w:r/>
    </w:p>
    <w:p>
      <w:pPr>
        <w:pStyle w:val="924"/>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r>
      <w:r/>
    </w:p>
    <w:p>
      <w:pPr>
        <w:pStyle w:val="924"/>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Teresópolis, ____ de ______________ </w:t>
      </w:r>
      <w:r>
        <w:rPr>
          <w:rFonts w:ascii="Arial" w:hAnsi="Arial" w:eastAsia="Arial"/>
          <w:sz w:val="24"/>
          <w:szCs w:val="24"/>
        </w:rPr>
        <w:t xml:space="preserve">de</w:t>
      </w:r>
      <w:r>
        <w:rPr>
          <w:rFonts w:ascii="Arial" w:hAnsi="Arial" w:eastAsia="Arial"/>
          <w:sz w:val="24"/>
          <w:szCs w:val="24"/>
        </w:rPr>
        <w:t xml:space="preserve"> 2022.  </w:t>
      </w:r>
      <w:r/>
    </w:p>
    <w:p>
      <w:pPr>
        <w:pStyle w:val="1096"/>
        <w:jc w:val="both"/>
        <w:spacing w:before="57" w:after="57" w:line="276" w:lineRule="auto"/>
        <w:rPr>
          <w:rFonts w:ascii="Arial" w:hAnsi="Arial" w:eastAsia="Arial"/>
          <w:sz w:val="24"/>
          <w:szCs w:val="24"/>
        </w:rPr>
      </w:pPr>
      <w:r>
        <w:rPr>
          <w:rFonts w:ascii="Arial" w:hAnsi="Arial" w:eastAsia="Arial"/>
          <w:sz w:val="24"/>
          <w:szCs w:val="24"/>
        </w:rPr>
      </w:r>
      <w:r/>
    </w:p>
    <w:p>
      <w:pPr>
        <w:pStyle w:val="1096"/>
        <w:numPr>
          <w:ilvl w:val="6"/>
          <w:numId w:val="4"/>
        </w:numPr>
        <w:jc w:val="both"/>
        <w:keepNext/>
        <w:spacing w:before="57" w:after="57" w:line="276" w:lineRule="auto"/>
        <w:widowControl w:val="off"/>
        <w:rPr>
          <w:rFonts w:ascii="Arial" w:hAnsi="Arial" w:eastAsia="Arial"/>
          <w:smallCaps/>
          <w:sz w:val="24"/>
          <w:szCs w:val="24"/>
        </w:rPr>
      </w:pPr>
      <w:r>
        <w:rPr>
          <w:rFonts w:ascii="Arial" w:hAnsi="Arial" w:eastAsia="Arial"/>
          <w:smallCaps/>
          <w:sz w:val="24"/>
          <w:szCs w:val="24"/>
        </w:rPr>
        <w:t xml:space="preserve">SECRETÁRIO MUNICIPAL DE _____________</w:t>
      </w:r>
      <w:r/>
    </w:p>
    <w:p>
      <w:pPr>
        <w:pStyle w:val="1096"/>
        <w:jc w:val="both"/>
        <w:spacing w:before="57" w:after="57" w:line="276" w:lineRule="auto"/>
        <w:rPr>
          <w:rFonts w:ascii="Arial" w:hAnsi="Arial" w:eastAsia="Arial"/>
          <w:sz w:val="24"/>
          <w:szCs w:val="24"/>
        </w:rPr>
      </w:pPr>
      <w:r>
        <w:rPr>
          <w:rFonts w:ascii="Arial" w:hAnsi="Arial" w:eastAsia="Arial"/>
          <w:sz w:val="24"/>
          <w:szCs w:val="24"/>
        </w:rPr>
        <w:t xml:space="preserve">CONTRATADA</w:t>
      </w:r>
      <w:r/>
    </w:p>
    <w:p>
      <w:pPr>
        <w:pStyle w:val="1096"/>
        <w:jc w:val="both"/>
        <w:spacing w:before="57" w:after="57" w:line="276" w:lineRule="auto"/>
        <w:rPr>
          <w:rFonts w:ascii="Arial" w:hAnsi="Arial" w:eastAsia="Arial"/>
          <w:sz w:val="24"/>
          <w:szCs w:val="24"/>
        </w:rPr>
      </w:pPr>
      <w:r>
        <w:rPr>
          <w:rFonts w:ascii="Arial" w:hAnsi="Arial" w:eastAsia="Arial"/>
          <w:sz w:val="24"/>
          <w:szCs w:val="24"/>
        </w:rPr>
      </w:r>
      <w:r/>
    </w:p>
    <w:p>
      <w:pPr>
        <w:pStyle w:val="1096"/>
        <w:jc w:val="both"/>
        <w:spacing w:before="57" w:after="57" w:line="276" w:lineRule="auto"/>
        <w:rPr>
          <w:rFonts w:ascii="Arial" w:hAnsi="Arial" w:eastAsia="Arial"/>
          <w:sz w:val="24"/>
          <w:szCs w:val="24"/>
        </w:rPr>
      </w:pPr>
      <w:r>
        <w:rPr>
          <w:rFonts w:ascii="Arial" w:hAnsi="Arial" w:eastAsia="Arial"/>
          <w:sz w:val="24"/>
          <w:szCs w:val="24"/>
        </w:rPr>
      </w:r>
      <w:r/>
    </w:p>
    <w:p>
      <w:pPr>
        <w:pStyle w:val="1096"/>
        <w:jc w:val="both"/>
        <w:spacing w:before="57" w:after="57" w:line="276" w:lineRule="auto"/>
        <w:rPr>
          <w:rFonts w:ascii="Arial" w:hAnsi="Arial" w:eastAsia="Arial"/>
          <w:sz w:val="24"/>
          <w:szCs w:val="24"/>
        </w:rPr>
      </w:pPr>
      <w:r>
        <w:rPr>
          <w:rFonts w:ascii="Arial" w:hAnsi="Arial" w:eastAsia="Arial"/>
          <w:sz w:val="24"/>
          <w:szCs w:val="24"/>
        </w:rPr>
        <w:t xml:space="preserve">TESTEMUNHAS:</w:t>
      </w:r>
      <w:r/>
    </w:p>
    <w:p>
      <w:pPr>
        <w:pStyle w:val="1096"/>
        <w:jc w:val="both"/>
        <w:spacing w:before="57" w:after="57" w:line="276" w:lineRule="auto"/>
        <w:rPr>
          <w:rFonts w:ascii="Arial" w:hAnsi="Arial" w:eastAsia="Arial"/>
          <w:sz w:val="24"/>
          <w:szCs w:val="24"/>
        </w:rPr>
      </w:pPr>
      <w:r>
        <w:rPr>
          <w:rFonts w:ascii="Arial" w:hAnsi="Arial" w:eastAsia="Arial"/>
          <w:sz w:val="24"/>
          <w:szCs w:val="24"/>
        </w:rPr>
        <w:t xml:space="preserve">1-_____________________________________   </w:t>
      </w:r>
      <w:r/>
    </w:p>
    <w:p>
      <w:pPr>
        <w:pStyle w:val="1096"/>
        <w:jc w:val="both"/>
        <w:spacing w:before="57" w:after="57" w:line="276" w:lineRule="auto"/>
        <w:rPr>
          <w:rFonts w:ascii="Arial" w:hAnsi="Arial" w:eastAsia="Arial"/>
          <w:sz w:val="24"/>
          <w:szCs w:val="24"/>
        </w:rPr>
      </w:pPr>
      <w:r>
        <w:rPr>
          <w:rFonts w:ascii="Arial" w:hAnsi="Arial" w:eastAsia="Arial"/>
          <w:sz w:val="24"/>
          <w:szCs w:val="24"/>
        </w:rPr>
        <w:t xml:space="preserve">C.I. nº. _______________________</w:t>
      </w:r>
      <w:r/>
    </w:p>
    <w:p>
      <w:pPr>
        <w:pStyle w:val="1096"/>
        <w:jc w:val="both"/>
        <w:spacing w:before="57" w:after="57" w:line="276" w:lineRule="auto"/>
        <w:rPr>
          <w:rFonts w:ascii="Arial" w:hAnsi="Arial" w:eastAsia="Arial"/>
          <w:sz w:val="24"/>
          <w:szCs w:val="24"/>
        </w:rPr>
      </w:pPr>
      <w:r>
        <w:rPr>
          <w:rFonts w:ascii="Arial" w:hAnsi="Arial" w:eastAsia="Arial"/>
          <w:sz w:val="24"/>
          <w:szCs w:val="24"/>
        </w:rPr>
        <w:t xml:space="preserve">2-_____________________________________  </w:t>
      </w:r>
      <w:r/>
    </w:p>
    <w:p>
      <w:pPr>
        <w:pStyle w:val="1096"/>
        <w:jc w:val="both"/>
        <w:spacing w:before="57" w:after="57" w:line="276" w:lineRule="auto"/>
      </w:pPr>
      <w:r>
        <w:rPr>
          <w:rFonts w:ascii="Arial" w:hAnsi="Arial" w:eastAsia="Arial"/>
          <w:sz w:val="24"/>
          <w:szCs w:val="24"/>
        </w:rPr>
        <w:t xml:space="preserve">C.I. nº. ________________________</w:t>
      </w:r>
      <w:r/>
    </w:p>
    <w:p>
      <w:pPr>
        <w:pStyle w:val="1096"/>
        <w:jc w:val="both"/>
        <w:spacing w:before="57" w:after="57" w:line="276" w:lineRule="auto"/>
      </w:pPr>
      <w:r/>
      <w:r/>
    </w:p>
    <w:p>
      <w:pPr>
        <w:pStyle w:val="1096"/>
        <w:jc w:val="both"/>
        <w:spacing w:before="57" w:after="57" w:line="276" w:lineRule="auto"/>
      </w:p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both"/>
        <w:spacing w:before="57" w:after="57" w:line="276" w:lineRule="auto"/>
        <w:rPr>
          <w:rFonts w:ascii="Arial" w:hAnsi="Arial" w:eastAsia="Arial"/>
          <w:b/>
          <w:sz w:val="24"/>
          <w:szCs w:val="24"/>
        </w:rPr>
      </w:pPr>
      <w:r>
        <w:rPr>
          <w:rFonts w:ascii="Arial" w:hAnsi="Arial" w:eastAsia="Arial"/>
          <w:b/>
          <w:sz w:val="24"/>
          <w:szCs w:val="24"/>
        </w:rPr>
      </w:r>
      <w:r/>
    </w:p>
    <w:p>
      <w:pPr>
        <w:pStyle w:val="1096"/>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VI:</w:t>
      </w:r>
      <w:r/>
    </w:p>
    <w:p>
      <w:pPr>
        <w:pStyle w:val="1096"/>
        <w:jc w:val="center"/>
        <w:spacing w:before="57" w:after="57" w:line="276" w:lineRule="auto"/>
        <w:rPr>
          <w:rFonts w:ascii="Arial" w:hAnsi="Arial" w:eastAsia="Arial"/>
          <w:b/>
          <w:sz w:val="18"/>
          <w:szCs w:val="18"/>
          <w:u w:val="single"/>
        </w:rPr>
      </w:pPr>
      <w:r>
        <w:rPr>
          <w:rFonts w:ascii="Arial" w:hAnsi="Arial" w:eastAsia="Arial"/>
          <w:b/>
          <w:sz w:val="18"/>
          <w:szCs w:val="18"/>
          <w:u w:val="single"/>
        </w:rPr>
      </w:r>
      <w:r/>
    </w:p>
    <w:p>
      <w:pPr>
        <w:pStyle w:val="890"/>
        <w:numPr>
          <w:ilvl w:val="0"/>
          <w:numId w:val="3"/>
        </w:numPr>
        <w:jc w:val="center"/>
        <w:spacing w:before="57" w:after="57" w:line="276" w:lineRule="auto"/>
        <w:rPr>
          <w:rFonts w:ascii="Arial" w:hAnsi="Arial" w:eastAsia="Arial"/>
        </w:rPr>
      </w:pPr>
      <w:r>
        <w:rPr>
          <w:rFonts w:ascii="Arial" w:hAnsi="Arial" w:eastAsia="Arial"/>
        </w:rPr>
        <w:t xml:space="preserve">MODELO DE DECLARAÇÃO CONJUNTA SOBRE PRAZO DE FORNECIMENTO, ART. 88 DA LEI ORGÊNICA MUNICIPAL E FUNCIONÁRIO INELEGÍVEL</w:t>
      </w:r>
      <w:r/>
    </w:p>
    <w:p>
      <w:pPr>
        <w:pStyle w:val="1096"/>
        <w:jc w:val="both"/>
        <w:spacing w:before="57" w:after="57" w:line="276" w:lineRule="auto"/>
        <w:rPr>
          <w:rFonts w:ascii="Arial" w:hAnsi="Arial" w:eastAsia="Arial"/>
          <w:sz w:val="18"/>
          <w:szCs w:val="18"/>
        </w:rPr>
      </w:pPr>
      <w:r>
        <w:rPr>
          <w:rFonts w:ascii="Arial" w:hAnsi="Arial" w:eastAsia="Arial"/>
          <w:sz w:val="18"/>
          <w:szCs w:val="18"/>
        </w:rPr>
      </w:r>
      <w:r/>
    </w:p>
    <w:p>
      <w:pPr>
        <w:pStyle w:val="1096"/>
        <w:jc w:val="both"/>
        <w:spacing w:before="57" w:after="57" w:line="276"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w:t>
      </w:r>
      <w:r>
        <w:rPr>
          <w:rFonts w:ascii="Arial" w:hAnsi="Arial" w:eastAsia="Arial"/>
          <w:sz w:val="24"/>
          <w:szCs w:val="24"/>
        </w:rPr>
        <w:t xml:space="preserve">tadora do CNPJ XX.XXX.XXX/XXXX-XX com sede na ____________________________, através de seu representante legal infra-assinado, (NOME) __________________________, nacionalidade _________, estado civil _________, profissão _________, portador da cédula de Id</w:t>
      </w:r>
      <w:r>
        <w:rPr>
          <w:rFonts w:ascii="Arial" w:hAnsi="Arial" w:eastAsia="Arial"/>
          <w:sz w:val="24"/>
          <w:szCs w:val="24"/>
        </w:rPr>
        <w:t xml:space="preserve">entidade nº XXXXXXXXXX, expedida pela XXXXX/XX, inscrito no C.P.F. sob o nº XXX.XXX.XXX-XX, residente e domiciliado a ______________________________________________ outorgando-lhe plenos poderes para representá-la na sessão pública do Pregão Eletrônico nº </w:t>
      </w:r>
      <w:r>
        <w:rPr>
          <w:rFonts w:ascii="Arial" w:hAnsi="Arial" w:eastAsia="Arial"/>
          <w:sz w:val="24"/>
          <w:szCs w:val="24"/>
        </w:rPr>
        <w:t xml:space="preserve">090/2022</w:t>
      </w:r>
      <w:r>
        <w:rPr>
          <w:rFonts w:ascii="Arial" w:hAnsi="Arial" w:eastAsia="Arial"/>
          <w:sz w:val="24"/>
          <w:szCs w:val="24"/>
        </w:rPr>
        <w:t xml:space="preserve"> do processo administrativo nº 26.701/2021, declara a quem possa interessar, sob as penas da lei:</w:t>
      </w:r>
      <w:r/>
    </w:p>
    <w:p>
      <w:pPr>
        <w:pStyle w:val="1096"/>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que, caso seja contratada, cumprirá o prazo de prestação de serviços de </w:t>
      </w:r>
      <w:r>
        <w:rPr>
          <w:rFonts w:ascii="Arial" w:hAnsi="Arial" w:eastAsia="Arial"/>
          <w:b/>
          <w:sz w:val="24"/>
          <w:szCs w:val="24"/>
        </w:rPr>
        <w:t xml:space="preserve">48 (quarenta e oito) horas</w:t>
      </w:r>
      <w:r>
        <w:rPr>
          <w:rFonts w:ascii="Arial" w:hAnsi="Arial" w:eastAsia="Arial"/>
          <w:sz w:val="24"/>
          <w:szCs w:val="24"/>
        </w:rPr>
        <w:t xml:space="preserve"> e atender ao item 16.1 do edital sob as penas do art. 7ª da Lei Federal nº 10.520/2002 (não será aceita entrega parcial das ordens de compra e empenhos). </w:t>
      </w:r>
      <w:r/>
    </w:p>
    <w:p>
      <w:pPr>
        <w:pStyle w:val="1096"/>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para os fins do disposto no artigo 88 da Lei Orgânica Municipal, que não possui no seu quadro de funcionários: dirigentes, vereadores, ocupant</w:t>
      </w:r>
      <w:r>
        <w:rPr>
          <w:rFonts w:ascii="Arial" w:hAnsi="Arial" w:eastAsia="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1096"/>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sz w:val="24"/>
          <w:szCs w:val="24"/>
        </w:rPr>
        <w:t xml:space="preserve">para os fins do disposto no Art. 73-B, I e II da Lei Orgânica do Município de Teresópolis</w:t>
      </w:r>
      <w:r>
        <w:rPr>
          <w:rFonts w:ascii="Arial" w:hAnsi="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96"/>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 – </w:t>
      </w:r>
      <w:r>
        <w:rPr>
          <w:rFonts w:ascii="Arial" w:hAnsi="Arial" w:eastAsia="Arial"/>
          <w:sz w:val="24"/>
          <w:szCs w:val="24"/>
        </w:rPr>
        <w:t xml:space="preserve">representação</w:t>
      </w:r>
      <w:r>
        <w:rPr>
          <w:rFonts w:ascii="Arial" w:hAnsi="Arial" w:eastAsia="Arial"/>
          <w:sz w:val="24"/>
          <w:szCs w:val="24"/>
        </w:rPr>
        <w:t xml:space="preserve"> contra sua pessoa julgada procedente pela Justiça Eleitoral em s de abuso do poder econômico ou político;</w:t>
      </w:r>
      <w:r/>
    </w:p>
    <w:p>
      <w:pPr>
        <w:pStyle w:val="1096"/>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II – </w:t>
      </w:r>
      <w:r>
        <w:rPr>
          <w:rFonts w:ascii="Arial" w:hAnsi="Arial" w:eastAsia="Arial"/>
          <w:sz w:val="24"/>
          <w:szCs w:val="24"/>
        </w:rPr>
        <w:t xml:space="preserve">condenação</w:t>
      </w:r>
      <w:r>
        <w:rPr>
          <w:rFonts w:ascii="Arial" w:hAnsi="Arial" w:eastAsia="Arial"/>
          <w:sz w:val="24"/>
          <w:szCs w:val="24"/>
        </w:rPr>
        <w:t xml:space="preserve"> por crimes contra a economia popular, a fé pública, a administração pública ou o patrimônio público.</w:t>
      </w:r>
      <w:r/>
    </w:p>
    <w:p>
      <w:pPr>
        <w:pStyle w:val="1096"/>
        <w:ind w:left="720"/>
        <w:jc w:val="both"/>
        <w:spacing w:before="57" w:after="57" w:line="276" w:lineRule="auto"/>
        <w:rPr>
          <w:rFonts w:ascii="Arial" w:hAnsi="Arial" w:eastAsia="Arial"/>
          <w:sz w:val="24"/>
          <w:szCs w:val="24"/>
        </w:rPr>
      </w:pPr>
      <w:r>
        <w:rPr>
          <w:rFonts w:ascii="Arial" w:hAnsi="Arial" w:eastAsia="Arial"/>
          <w:sz w:val="24"/>
          <w:szCs w:val="24"/>
        </w:rPr>
        <w:t xml:space="preserve">Por ser a expressão da verdade, firmo a presente. Analisar os pareceres </w:t>
      </w:r>
      <w:r/>
    </w:p>
    <w:p>
      <w:pPr>
        <w:pStyle w:val="1096"/>
        <w:jc w:val="both"/>
        <w:spacing w:before="57" w:after="57" w:line="276" w:lineRule="auto"/>
        <w:rPr>
          <w:rFonts w:ascii="Arial" w:hAnsi="Arial" w:eastAsia="Arial"/>
          <w:b/>
          <w:sz w:val="24"/>
          <w:szCs w:val="24"/>
        </w:rPr>
      </w:pPr>
      <w:r>
        <w:rPr>
          <w:rFonts w:ascii="Arial" w:hAnsi="Arial" w:eastAsia="Arial"/>
          <w:b/>
          <w:sz w:val="24"/>
          <w:szCs w:val="24"/>
        </w:rPr>
        <w:t xml:space="preserve">(local e data)</w:t>
      </w:r>
      <w:r/>
    </w:p>
    <w:p>
      <w:pPr>
        <w:pStyle w:val="1096"/>
        <w:jc w:val="both"/>
        <w:spacing w:before="57" w:after="57" w:line="276" w:lineRule="auto"/>
        <w:rPr>
          <w:rFonts w:ascii="Arial" w:hAnsi="Arial" w:eastAsia="Arial"/>
          <w:b/>
          <w:sz w:val="24"/>
          <w:szCs w:val="24"/>
        </w:rPr>
      </w:pPr>
      <w:r>
        <w:rPr>
          <w:rFonts w:ascii="Arial" w:hAnsi="Arial" w:eastAsia="Arial"/>
          <w:b/>
          <w:sz w:val="24"/>
          <w:szCs w:val="24"/>
        </w:rPr>
        <w:t xml:space="preserve">(nome completo, C.P.F., cargo ou função e assinatura do representante legal)</w:t>
      </w:r>
      <w:r/>
    </w:p>
    <w:sectPr>
      <w:headerReference w:type="default" r:id="rId9"/>
      <w:headerReference w:type="first" r:id="rId10"/>
      <w:footerReference w:type="default" r:id="rId11"/>
      <w:footnotePr/>
      <w:endnotePr/>
      <w:type w:val="nextPage"/>
      <w:pgSz w:w="11907" w:h="16839" w:orient="portrait"/>
      <w:pgMar w:top="1984"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TimesNewRoman">
    <w:panose1 w:val="02020603050405020304"/>
  </w:font>
  <w:font w:name="WenQuanYi Micro Hei">
    <w:panose1 w:val="02000603000000000000"/>
  </w:font>
  <w:font w:name="MS Gothic">
    <w:panose1 w:val="020B0609070205080204"/>
  </w:font>
  <w:font w:name="Bookman Old Style">
    <w:panose1 w:val="02040503050406030204"/>
  </w:font>
  <w:font w:name="Ecofont_Spranq_eco_Sans">
    <w:panose1 w:val="02000603000000000000"/>
  </w:font>
  <w:font w:name="Courier New">
    <w:panose1 w:val="02070309020205020404"/>
  </w:font>
  <w:font w:name="MS Mincho">
    <w:panose1 w:val="02020503050405090304"/>
  </w:font>
  <w:font w:name="Georgia">
    <w:panose1 w:val="02040502050405020303"/>
  </w:font>
  <w:font w:name="Zurich BT">
    <w:panose1 w:val="02000603000000000000"/>
  </w:font>
  <w:font w:name="Calibri">
    <w:panose1 w:val="020F0502020204030204"/>
  </w:font>
  <w:font w:name="Times New Roman">
    <w:panose1 w:val="02020603050405020304"/>
  </w:font>
  <w:font w:name="Arial">
    <w:panose1 w:val="020B0604020202020204"/>
  </w:font>
  <w:font w:name="Cambria">
    <w:panose1 w:val="02040503050406030204"/>
  </w:font>
  <w:font w:name="Arial MT">
    <w:panose1 w:val="020B060402020202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5"/>
      <w:jc w:val="right"/>
      <w:spacing w:line="276" w:lineRule="auto"/>
      <w:tabs>
        <w:tab w:val="left" w:pos="5245" w:leader="none"/>
        <w:tab w:val="right" w:pos="8080" w:leader="none"/>
      </w:tabs>
      <w:rPr>
        <w:rFonts w:ascii="Arial" w:hAnsi="Arial" w:cs="Arial"/>
        <w:b/>
        <w:iCs/>
        <w:color w:val="000000"/>
        <w:sz w:val="16"/>
        <w:szCs w:val="16"/>
      </w:rPr>
    </w:pPr>
    <w:r/>
    <w:bookmarkStart w:id="8" w:name="_Hlk106648348"/>
    <w:r/>
    <w:bookmarkStart w:id="9" w:name="_Hlk106648349"/>
    <w:r>
      <w:rPr>
        <w:rFonts w:ascii="Arial" w:hAnsi="Arial" w:cs="Arial"/>
        <w:b/>
        <w:iCs/>
        <w:color w:val="000000"/>
        <w:sz w:val="16"/>
        <w:szCs w:val="16"/>
      </w:rPr>
      <w:t xml:space="preserve">Satiele</w:t>
    </w:r>
    <w:r>
      <w:rPr>
        <w:rFonts w:ascii="Arial" w:hAnsi="Arial" w:cs="Arial"/>
        <w:b/>
        <w:iCs/>
        <w:color w:val="000000"/>
        <w:sz w:val="16"/>
        <w:szCs w:val="16"/>
      </w:rPr>
      <w:t xml:space="preserve"> de Sequeira Santos</w:t>
    </w:r>
    <w:r/>
  </w:p>
  <w:p>
    <w:pPr>
      <w:pStyle w:val="935"/>
      <w:jc w:val="right"/>
      <w:spacing w:line="276" w:lineRule="auto"/>
      <w:tabs>
        <w:tab w:val="left" w:pos="5245" w:leader="none"/>
        <w:tab w:val="right" w:pos="8080" w:leader="none"/>
      </w:tabs>
      <w:rPr>
        <w:rFonts w:ascii="Arial" w:hAnsi="Arial" w:cs="Arial"/>
        <w:b/>
        <w:iCs/>
        <w:color w:val="000000"/>
        <w:sz w:val="16"/>
        <w:szCs w:val="16"/>
      </w:rPr>
    </w:pPr>
    <w:r>
      <w:rPr>
        <w:rFonts w:ascii="Arial" w:hAnsi="Arial" w:cs="Arial"/>
        <w:b/>
        <w:iCs/>
        <w:color w:val="000000"/>
        <w:sz w:val="16"/>
        <w:szCs w:val="16"/>
      </w:rPr>
      <w:t xml:space="preserve">Secretária Municipal de Educação</w:t>
    </w:r>
    <w:r/>
  </w:p>
  <w:p>
    <w:pPr>
      <w:pStyle w:val="935"/>
      <w:jc w:val="right"/>
      <w:spacing w:line="276" w:lineRule="auto"/>
      <w:tabs>
        <w:tab w:val="left" w:pos="5245" w:leader="none"/>
        <w:tab w:val="right" w:pos="8080" w:leader="none"/>
      </w:tabs>
      <w:rPr>
        <w:rFonts w:ascii="Times New Roman" w:hAnsi="Times New Roman"/>
        <w:b/>
        <w:i/>
        <w:color w:val="000000"/>
        <w:sz w:val="16"/>
        <w:szCs w:val="16"/>
      </w:rPr>
    </w:pPr>
    <w:r>
      <w:rPr>
        <w:rFonts w:ascii="Arial" w:hAnsi="Arial" w:cs="Arial"/>
        <w:b/>
        <w:iCs/>
        <w:color w:val="000000"/>
        <w:sz w:val="16"/>
        <w:szCs w:val="16"/>
      </w:rPr>
      <w:t xml:space="preserve">Matrícula </w:t>
    </w:r>
    <w:bookmarkEnd w:id="8"/>
    <w:r/>
    <w:bookmarkEnd w:id="9"/>
    <w:r>
      <w:rPr>
        <w:rFonts w:ascii="Arial" w:hAnsi="Arial" w:cs="Arial"/>
        <w:b/>
        <w:iCs/>
        <w:color w:val="000000"/>
        <w:sz w:val="16"/>
        <w:szCs w:val="16"/>
      </w:rPr>
      <w:t xml:space="preserve">1-14054-1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96"/>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96"/>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254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alse">
                    <v:path textboxrect="0,0,0,0"/>
                    <v:imagedata r:id="rId1" o:title=""/>
                  </v:shape>
                </w:pict>
              </mc:Fallback>
            </mc:AlternateContent>
          </w:r>
          <w:r/>
        </w:p>
      </w:tc>
      <w:tc>
        <w:tcPr>
          <w:shd w:val="clear" w:color="auto" w:fill="auto"/>
          <w:tcW w:w="5245" w:type="dxa"/>
          <w:textDirection w:val="lrTb"/>
          <w:noWrap w:val="false"/>
        </w:tcPr>
        <w:p>
          <w:pPr>
            <w:pStyle w:val="1096"/>
            <w:ind w:left="212"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3017520</wp:posOffset>
                    </wp:positionH>
                    <wp:positionV relativeFrom="paragraph">
                      <wp:posOffset>-2540</wp:posOffset>
                    </wp:positionV>
                    <wp:extent cx="2057400" cy="746760"/>
                    <wp:effectExtent l="0" t="0" r="19050" b="15240"/>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2057400" cy="746760"/>
                            </a:xfrm>
                            <a:prstGeom prst="rect">
                              <a:avLst/>
                            </a:prstGeom>
                            <a:noFill/>
                            <a:ln>
                              <a:solidFill>
                                <a:sysClr val="windowText" lastClr="000000"/>
                              </a:solidFill>
                            </a:ln>
                            <a:effectLst/>
                          </wps:spPr>
                          <wps:txbx>
                            <w:txbxContent>
                              <w:p>
                                <w:pPr>
                                  <w:spacing w:line="276" w:lineRule="auto"/>
                                  <w:rPr>
                                    <w:rFonts w:ascii="Arial" w:hAnsi="Arial" w:cs="Arial"/>
                                  </w:rPr>
                                </w:pPr>
                                <w:r>
                                  <w:rPr>
                                    <w:rFonts w:ascii="Arial" w:hAnsi="Arial" w:cs="Arial"/>
                                  </w:rPr>
                                  <w:t xml:space="preserve">PMT-RJ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26.701/2021</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FLS:</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7.6pt;mso-position-horizontal:absolute;mso-position-vertical-relative:text;margin-top:-0.2pt;mso-position-vertical:absolute;width:162.0pt;height:58.8pt;v-text-anchor:top;" coordsize="100000,100000" path="" filled="f" strokecolor="#000000">
                    <v:path textboxrect="0,0,0,0"/>
                    <v:textbox>
                      <w:txbxContent>
                        <w:p>
                          <w:pPr>
                            <w:spacing w:line="276" w:lineRule="auto"/>
                            <w:rPr>
                              <w:rFonts w:ascii="Arial" w:hAnsi="Arial" w:cs="Arial"/>
                            </w:rPr>
                          </w:pPr>
                          <w:r>
                            <w:rPr>
                              <w:rFonts w:ascii="Arial" w:hAnsi="Arial" w:cs="Arial"/>
                            </w:rPr>
                            <w:t xml:space="preserve">PMT-RJ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26.701/2021</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09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9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9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9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9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9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933"/>
      <w:tabs>
        <w:tab w:val="left" w:pos="2130" w:leader="none"/>
        <w:tab w:val="clear" w:pos="4320" w:leader="none"/>
        <w:tab w:val="clear" w:pos="8640" w:leader="none"/>
      </w:tabs>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textDirection w:val="lrTb"/>
          <w:noWrap w:val="false"/>
        </w:tcPr>
        <w:p>
          <w:pPr>
            <w:pStyle w:val="1096"/>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textDirection w:val="lrTb"/>
          <w:noWrap w:val="false"/>
        </w:tcPr>
        <w:p>
          <w:pPr>
            <w:pStyle w:val="1096"/>
            <w:ind w:left="212"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096"/>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096"/>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93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3">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decimal"/>
      <w:isLgl w:val="false"/>
      <w:suff w:val="tab"/>
      <w:lvlText w:val="%1."/>
      <w:lvlJc w:val="left"/>
      <w:pPr>
        <w:ind w:left="1087" w:hanging="268"/>
      </w:pPr>
      <w:rPr>
        <w:rFonts w:ascii="Arial" w:hAnsi="Arial" w:cs="Arial" w:eastAsia="Arial"/>
        <w:b/>
        <w:sz w:val="24"/>
        <w:szCs w:val="24"/>
      </w:rPr>
    </w:lvl>
    <w:lvl w:ilvl="1">
      <w:start w:val="1"/>
      <w:numFmt w:val="decimal"/>
      <w:isLgl w:val="false"/>
      <w:suff w:val="tab"/>
      <w:lvlText w:val="%1.%2."/>
      <w:lvlJc w:val="left"/>
      <w:pPr>
        <w:ind w:left="960" w:hanging="720"/>
      </w:pPr>
      <w:rPr>
        <w:rFonts w:ascii="Arial" w:hAnsi="Arial" w:cs="Arial" w:eastAsia="Arial"/>
        <w:b/>
        <w:sz w:val="24"/>
        <w:szCs w:val="24"/>
      </w:rPr>
    </w:lvl>
    <w:lvl w:ilvl="2">
      <w:start w:val="1"/>
      <w:numFmt w:val="decimal"/>
      <w:isLgl w:val="false"/>
      <w:suff w:val="tab"/>
      <w:lvlText w:val="%1.%2.%3."/>
      <w:lvlJc w:val="left"/>
      <w:pPr>
        <w:ind w:left="818" w:hanging="687"/>
      </w:pPr>
      <w:rPr>
        <w:rFonts w:ascii="Arial MT" w:hAnsi="Arial MT" w:cs="Arial MT" w:eastAsia="Arial MT"/>
        <w:sz w:val="24"/>
        <w:szCs w:val="24"/>
      </w:rPr>
    </w:lvl>
    <w:lvl w:ilvl="3">
      <w:start w:val="1"/>
      <w:numFmt w:val="bullet"/>
      <w:isLgl w:val="false"/>
      <w:suff w:val="tab"/>
      <w:lvlText w:val="•"/>
      <w:lvlJc w:val="left"/>
      <w:pPr>
        <w:ind w:left="1480" w:hanging="687"/>
      </w:pPr>
    </w:lvl>
    <w:lvl w:ilvl="4">
      <w:start w:val="1"/>
      <w:numFmt w:val="bullet"/>
      <w:isLgl w:val="false"/>
      <w:suff w:val="tab"/>
      <w:lvlText w:val="•"/>
      <w:lvlJc w:val="left"/>
      <w:pPr>
        <w:ind w:left="2840" w:hanging="687"/>
      </w:pPr>
    </w:lvl>
    <w:lvl w:ilvl="5">
      <w:start w:val="1"/>
      <w:numFmt w:val="bullet"/>
      <w:isLgl w:val="false"/>
      <w:suff w:val="tab"/>
      <w:lvlText w:val="•"/>
      <w:lvlJc w:val="left"/>
      <w:pPr>
        <w:ind w:left="4201" w:hanging="686"/>
      </w:pPr>
    </w:lvl>
    <w:lvl w:ilvl="6">
      <w:start w:val="1"/>
      <w:numFmt w:val="bullet"/>
      <w:isLgl w:val="false"/>
      <w:suff w:val="tab"/>
      <w:lvlText w:val="•"/>
      <w:lvlJc w:val="left"/>
      <w:pPr>
        <w:ind w:left="5562" w:hanging="686"/>
      </w:pPr>
    </w:lvl>
    <w:lvl w:ilvl="7">
      <w:start w:val="1"/>
      <w:numFmt w:val="bullet"/>
      <w:isLgl w:val="false"/>
      <w:suff w:val="tab"/>
      <w:lvlText w:val="•"/>
      <w:lvlJc w:val="left"/>
      <w:pPr>
        <w:ind w:left="6923" w:hanging="687"/>
      </w:pPr>
    </w:lvl>
    <w:lvl w:ilvl="8">
      <w:start w:val="1"/>
      <w:numFmt w:val="bullet"/>
      <w:isLgl w:val="false"/>
      <w:suff w:val="tab"/>
      <w:lvlText w:val="•"/>
      <w:lvlJc w:val="left"/>
      <w:pPr>
        <w:ind w:left="8284" w:hanging="687"/>
      </w:pPr>
    </w:lvl>
  </w:abstractNum>
  <w:abstractNum w:abstractNumId="6">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7">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8">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9">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0">
    <w:multiLevelType w:val="hybridMultilevel"/>
    <w:lvl w:ilvl="0">
      <w:start w:val="1"/>
      <w:numFmt w:val="decimal"/>
      <w:isLgl w:val="false"/>
      <w:suff w:val="tab"/>
      <w:lvlText w:val="%1"/>
      <w:lvlJc w:val="left"/>
      <w:pPr>
        <w:ind w:left="360" w:hanging="360"/>
      </w:pPr>
      <w:rPr>
        <w:rFonts w:ascii="Arial" w:hAnsi="Arial" w:cs="Arial" w:eastAsia="Arial" w:hint="default"/>
        <w:b/>
      </w:rPr>
    </w:lvl>
    <w:lvl w:ilvl="1">
      <w:start w:val="2"/>
      <w:numFmt w:val="decimal"/>
      <w:isLgl w:val="false"/>
      <w:suff w:val="tab"/>
      <w:lvlText w:val="%1.%2"/>
      <w:lvlJc w:val="left"/>
      <w:pPr>
        <w:ind w:left="644" w:hanging="360"/>
      </w:pPr>
      <w:rPr>
        <w:rFonts w:ascii="Arial" w:hAnsi="Arial" w:cs="Arial" w:eastAsia="Arial" w:hint="default"/>
        <w:b/>
      </w:rPr>
    </w:lvl>
    <w:lvl w:ilvl="2">
      <w:start w:val="1"/>
      <w:numFmt w:val="decimal"/>
      <w:isLgl w:val="false"/>
      <w:suff w:val="tab"/>
      <w:lvlText w:val="%1.%2.%3"/>
      <w:lvlJc w:val="left"/>
      <w:pPr>
        <w:ind w:left="1288" w:hanging="720"/>
      </w:pPr>
      <w:rPr>
        <w:rFonts w:ascii="Arial" w:hAnsi="Arial" w:cs="Arial" w:eastAsia="Arial" w:hint="default"/>
        <w:b/>
      </w:rPr>
    </w:lvl>
    <w:lvl w:ilvl="3">
      <w:start w:val="1"/>
      <w:numFmt w:val="decimal"/>
      <w:isLgl w:val="false"/>
      <w:suff w:val="tab"/>
      <w:lvlText w:val="%1.%2.%3.%4"/>
      <w:lvlJc w:val="left"/>
      <w:pPr>
        <w:ind w:left="1932" w:hanging="1080"/>
      </w:pPr>
      <w:rPr>
        <w:rFonts w:ascii="Arial" w:hAnsi="Arial" w:cs="Arial" w:eastAsia="Arial" w:hint="default"/>
        <w:b/>
      </w:rPr>
    </w:lvl>
    <w:lvl w:ilvl="4">
      <w:start w:val="1"/>
      <w:numFmt w:val="decimalZero"/>
      <w:isLgl w:val="false"/>
      <w:suff w:val="tab"/>
      <w:lvlText w:val="%1.%2.%3.%4.%5"/>
      <w:lvlJc w:val="left"/>
      <w:pPr>
        <w:ind w:left="2216" w:hanging="1080"/>
      </w:pPr>
      <w:rPr>
        <w:rFonts w:ascii="Arial" w:hAnsi="Arial" w:cs="Arial" w:eastAsia="Arial" w:hint="default"/>
        <w:b/>
      </w:rPr>
    </w:lvl>
    <w:lvl w:ilvl="5">
      <w:start w:val="1"/>
      <w:numFmt w:val="decimal"/>
      <w:isLgl w:val="false"/>
      <w:suff w:val="tab"/>
      <w:lvlText w:val="%1.%2.%3.%4.%5.%6"/>
      <w:lvlJc w:val="left"/>
      <w:pPr>
        <w:ind w:left="2860" w:hanging="1440"/>
      </w:pPr>
      <w:rPr>
        <w:rFonts w:ascii="Arial" w:hAnsi="Arial" w:cs="Arial" w:eastAsia="Arial" w:hint="default"/>
        <w:b/>
      </w:rPr>
    </w:lvl>
    <w:lvl w:ilvl="6">
      <w:start w:val="1"/>
      <w:numFmt w:val="decimal"/>
      <w:isLgl w:val="false"/>
      <w:suff w:val="tab"/>
      <w:lvlText w:val="%1.%2.%3.%4.%5.%6.%7"/>
      <w:lvlJc w:val="left"/>
      <w:pPr>
        <w:ind w:left="3144" w:hanging="1440"/>
      </w:pPr>
      <w:rPr>
        <w:rFonts w:ascii="Arial" w:hAnsi="Arial" w:cs="Arial" w:eastAsia="Arial" w:hint="default"/>
        <w:b/>
      </w:rPr>
    </w:lvl>
    <w:lvl w:ilvl="7">
      <w:start w:val="1"/>
      <w:numFmt w:val="decimal"/>
      <w:isLgl w:val="false"/>
      <w:suff w:val="tab"/>
      <w:lvlText w:val="%1.%2.%3.%4.%5.%6.%7.%8"/>
      <w:lvlJc w:val="left"/>
      <w:pPr>
        <w:ind w:left="3788" w:hanging="1800"/>
      </w:pPr>
      <w:rPr>
        <w:rFonts w:ascii="Arial" w:hAnsi="Arial" w:cs="Arial" w:eastAsia="Arial" w:hint="default"/>
        <w:b/>
      </w:rPr>
    </w:lvl>
    <w:lvl w:ilvl="8">
      <w:start w:val="1"/>
      <w:numFmt w:val="decimal"/>
      <w:isLgl w:val="false"/>
      <w:suff w:val="tab"/>
      <w:lvlText w:val="%1.%2.%3.%4.%5.%6.%7.%8.%9"/>
      <w:lvlJc w:val="left"/>
      <w:pPr>
        <w:ind w:left="4072" w:hanging="1800"/>
      </w:pPr>
      <w:rPr>
        <w:rFonts w:ascii="Arial" w:hAnsi="Arial" w:cs="Arial" w:eastAsia="Arial" w:hint="default"/>
        <w:b/>
      </w:rPr>
    </w:lvl>
  </w:abstractNum>
  <w:abstractNum w:abstractNumId="11">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1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pStyle w:val="1099"/>
      <w:isLgl w:val="false"/>
      <w:suff w:val="tab"/>
      <w:lvlText w:val="%1."/>
      <w:lvlJc w:val="left"/>
      <w:pPr>
        <w:ind w:left="360" w:hanging="360"/>
      </w:pPr>
      <w:rPr>
        <w:b/>
      </w:rPr>
    </w:lvl>
    <w:lvl w:ilvl="1">
      <w:start w:val="1"/>
      <w:numFmt w:val="decimal"/>
      <w:isLgl w:val="false"/>
      <w:suff w:val="tab"/>
      <w:lvlText w:val="%1.%2."/>
      <w:lvlJc w:val="left"/>
      <w:pPr>
        <w:ind w:left="858" w:hanging="432"/>
      </w:pPr>
      <w:rPr>
        <w:rFonts w:ascii="Arial" w:hAnsi="Arial"/>
        <w:b w:val="0"/>
        <w:i w:val="0"/>
        <w:strike w:val="false"/>
        <w:color w:val="000000"/>
        <w:sz w:val="20"/>
        <w:szCs w:val="20"/>
        <w:u w:val="none"/>
      </w:rPr>
    </w:lvl>
    <w:lvl w:ilvl="2">
      <w:start w:val="1"/>
      <w:numFmt w:val="decimal"/>
      <w:isLgl w:val="false"/>
      <w:suff w:val="tab"/>
      <w:lvlText w:val="%1.%2.%3."/>
      <w:lvlJc w:val="left"/>
      <w:pPr>
        <w:ind w:left="2206" w:hanging="504"/>
      </w:pPr>
      <w:rPr>
        <w:rFonts w:ascii="Arial" w:hAnsi="Arial"/>
        <w:b/>
        <w:bCs/>
        <w:i w:val="0"/>
        <w:strike w:val="false"/>
        <w:color w:val="000000"/>
        <w:sz w:val="24"/>
        <w:szCs w:val="24"/>
      </w:rPr>
    </w:lvl>
    <w:lvl w:ilvl="3">
      <w:start w:val="1"/>
      <w:numFmt w:val="decimal"/>
      <w:isLgl w:val="false"/>
      <w:suff w:val="tab"/>
      <w:lvlText w:val="%1.%2.%3.%4."/>
      <w:lvlJc w:val="left"/>
      <w:pPr>
        <w:ind w:left="2491"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6">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7">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8">
    <w:multiLevelType w:val="hybridMultilevel"/>
    <w:lvl w:ilvl="0">
      <w:start w:val="1"/>
      <w:numFmt w:val="decimal"/>
      <w:pStyle w:val="1090"/>
      <w:isLgl w:val="false"/>
      <w:suff w:val="space"/>
      <w:lvlText w:val="%1."/>
      <w:lvlJc w:val="left"/>
      <w:pPr>
        <w:ind w:left="0" w:firstLine="0"/>
      </w:pPr>
    </w:lvl>
    <w:lvl w:ilvl="1">
      <w:start w:val="1"/>
      <w:numFmt w:val="decimal"/>
      <w:pStyle w:val="1091"/>
      <w:isLgl w:val="false"/>
      <w:suff w:val="space"/>
      <w:lvlText w:val="%1.%2."/>
      <w:lvlJc w:val="left"/>
      <w:pPr>
        <w:ind w:left="-368" w:firstLine="368"/>
      </w:pPr>
      <w:rPr>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sz w:val="20"/>
        <w:szCs w:val="20"/>
      </w:rPr>
    </w:lvl>
    <w:lvl w:ilvl="3">
      <w:start w:val="1"/>
      <w:numFmt w:val="decimal"/>
      <w:isLgl w:val="false"/>
      <w:suff w:val="space"/>
      <w:lvlText w:val="%1.%2.%3.%4."/>
      <w:lvlJc w:val="left"/>
      <w:pPr>
        <w:ind w:left="445" w:hanging="161"/>
      </w:pPr>
      <w:rPr>
        <w:color w:val="000000"/>
      </w:rPr>
    </w:lvl>
    <w:lvl w:ilvl="4">
      <w:start w:val="1"/>
      <w:numFmt w:val="decimal"/>
      <w:isLgl w:val="false"/>
      <w:suff w:val="tab"/>
      <w:lvlText w:val="%1.%2.%3.%4.%5."/>
      <w:lvlJc w:val="left"/>
      <w:pPr>
        <w:ind w:left="949" w:hanging="790"/>
      </w:pPr>
    </w:lvl>
    <w:lvl w:ilvl="5">
      <w:start w:val="1"/>
      <w:numFmt w:val="decimal"/>
      <w:isLgl w:val="false"/>
      <w:suff w:val="tab"/>
      <w:lvlText w:val="%1.%2.%3.%4.%5.%6."/>
      <w:lvlJc w:val="left"/>
      <w:pPr>
        <w:ind w:left="1453" w:hanging="937"/>
      </w:pPr>
    </w:lvl>
    <w:lvl w:ilvl="6">
      <w:start w:val="1"/>
      <w:numFmt w:val="decimal"/>
      <w:isLgl w:val="false"/>
      <w:suff w:val="tab"/>
      <w:lvlText w:val="%1.%2.%3.%4.%5.%6.%7."/>
      <w:lvlJc w:val="left"/>
      <w:pPr>
        <w:ind w:left="1957" w:hanging="1080"/>
      </w:pPr>
    </w:lvl>
    <w:lvl w:ilvl="7">
      <w:start w:val="1"/>
      <w:numFmt w:val="decimal"/>
      <w:isLgl w:val="false"/>
      <w:suff w:val="tab"/>
      <w:lvlText w:val="%1.%2.%3.%4.%5.%6.%7.%8."/>
      <w:lvlJc w:val="left"/>
      <w:pPr>
        <w:ind w:left="2461" w:hanging="1224"/>
      </w:pPr>
    </w:lvl>
    <w:lvl w:ilvl="8">
      <w:start w:val="1"/>
      <w:numFmt w:val="decimal"/>
      <w:isLgl w:val="false"/>
      <w:suff w:val="tab"/>
      <w:lvlText w:val="%1.%2.%3.%4.%5.%6.%7.%8.%9."/>
      <w:lvlJc w:val="left"/>
      <w:pPr>
        <w:ind w:left="3037" w:hanging="1440"/>
      </w:pPr>
    </w:lvl>
  </w:abstractNum>
  <w:abstractNum w:abstractNumId="19">
    <w:multiLevelType w:val="hybridMultilevel"/>
    <w:lvl w:ilvl="0">
      <w:start w:val="4"/>
      <w:numFmt w:val="decimal"/>
      <w:isLgl w:val="false"/>
      <w:suff w:val="tab"/>
      <w:lvlText w:val="%1"/>
      <w:lvlJc w:val="left"/>
      <w:pPr>
        <w:ind w:left="818" w:hanging="509"/>
      </w:pPr>
    </w:lvl>
    <w:lvl w:ilvl="1">
      <w:start w:val="2"/>
      <w:numFmt w:val="decimal"/>
      <w:isLgl w:val="false"/>
      <w:suff w:val="tab"/>
      <w:lvlText w:val="%1.%2."/>
      <w:lvlJc w:val="left"/>
      <w:pPr>
        <w:ind w:left="818" w:hanging="509"/>
      </w:pPr>
      <w:rPr>
        <w:rFonts w:ascii="Arial" w:hAnsi="Arial" w:cs="Arial" w:eastAsia="Arial"/>
        <w:b/>
        <w:sz w:val="24"/>
        <w:szCs w:val="24"/>
      </w:rPr>
    </w:lvl>
    <w:lvl w:ilvl="2">
      <w:start w:val="1"/>
      <w:numFmt w:val="bullet"/>
      <w:isLgl w:val="false"/>
      <w:suff w:val="tab"/>
      <w:lvlText w:val="•"/>
      <w:lvlJc w:val="left"/>
      <w:pPr>
        <w:ind w:left="2857" w:hanging="509"/>
      </w:pPr>
    </w:lvl>
    <w:lvl w:ilvl="3">
      <w:start w:val="1"/>
      <w:numFmt w:val="bullet"/>
      <w:isLgl w:val="false"/>
      <w:suff w:val="tab"/>
      <w:lvlText w:val="•"/>
      <w:lvlJc w:val="left"/>
      <w:pPr>
        <w:ind w:left="3875" w:hanging="509"/>
      </w:pPr>
    </w:lvl>
    <w:lvl w:ilvl="4">
      <w:start w:val="1"/>
      <w:numFmt w:val="bullet"/>
      <w:isLgl w:val="false"/>
      <w:suff w:val="tab"/>
      <w:lvlText w:val="•"/>
      <w:lvlJc w:val="left"/>
      <w:pPr>
        <w:ind w:left="4894" w:hanging="509"/>
      </w:pPr>
    </w:lvl>
    <w:lvl w:ilvl="5">
      <w:start w:val="1"/>
      <w:numFmt w:val="bullet"/>
      <w:isLgl w:val="false"/>
      <w:suff w:val="tab"/>
      <w:lvlText w:val="•"/>
      <w:lvlJc w:val="left"/>
      <w:pPr>
        <w:ind w:left="5913" w:hanging="509"/>
      </w:pPr>
    </w:lvl>
    <w:lvl w:ilvl="6">
      <w:start w:val="1"/>
      <w:numFmt w:val="bullet"/>
      <w:isLgl w:val="false"/>
      <w:suff w:val="tab"/>
      <w:lvlText w:val="•"/>
      <w:lvlJc w:val="left"/>
      <w:pPr>
        <w:ind w:left="6931" w:hanging="509"/>
      </w:pPr>
    </w:lvl>
    <w:lvl w:ilvl="7">
      <w:start w:val="1"/>
      <w:numFmt w:val="bullet"/>
      <w:isLgl w:val="false"/>
      <w:suff w:val="tab"/>
      <w:lvlText w:val="•"/>
      <w:lvlJc w:val="left"/>
      <w:pPr>
        <w:ind w:left="7950" w:hanging="509"/>
      </w:pPr>
    </w:lvl>
    <w:lvl w:ilvl="8">
      <w:start w:val="1"/>
      <w:numFmt w:val="bullet"/>
      <w:isLgl w:val="false"/>
      <w:suff w:val="tab"/>
      <w:lvlText w:val="•"/>
      <w:lvlJc w:val="left"/>
      <w:pPr>
        <w:ind w:left="8969" w:hanging="509"/>
      </w:pPr>
    </w:lvl>
  </w:abstractNum>
  <w:abstractNum w:abstractNumId="20">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1">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3">
    <w:multiLevelType w:val="hybridMultilevel"/>
    <w:lvl w:ilvl="0">
      <w:start w:val="1"/>
      <w:numFmt w:val="lowerLetter"/>
      <w:isLgl w:val="false"/>
      <w:suff w:val="tab"/>
      <w:lvlText w:val="%1)"/>
      <w:lvlJc w:val="left"/>
      <w:pPr>
        <w:ind w:left="1855" w:hanging="360"/>
      </w:pPr>
    </w:lvl>
    <w:lvl w:ilvl="1">
      <w:start w:val="1"/>
      <w:numFmt w:val="lowerLetter"/>
      <w:isLgl w:val="false"/>
      <w:suff w:val="tab"/>
      <w:lvlText w:val="%2."/>
      <w:lvlJc w:val="left"/>
      <w:pPr>
        <w:ind w:left="2575" w:hanging="360"/>
      </w:pPr>
    </w:lvl>
    <w:lvl w:ilvl="2">
      <w:start w:val="1"/>
      <w:numFmt w:val="lowerRoman"/>
      <w:isLgl w:val="false"/>
      <w:suff w:val="tab"/>
      <w:lvlText w:val="%3."/>
      <w:lvlJc w:val="right"/>
      <w:pPr>
        <w:ind w:left="3295" w:hanging="180"/>
      </w:pPr>
    </w:lvl>
    <w:lvl w:ilvl="3">
      <w:start w:val="1"/>
      <w:numFmt w:val="decimal"/>
      <w:isLgl w:val="false"/>
      <w:suff w:val="tab"/>
      <w:lvlText w:val="%4."/>
      <w:lvlJc w:val="left"/>
      <w:pPr>
        <w:ind w:left="4015" w:hanging="360"/>
      </w:pPr>
    </w:lvl>
    <w:lvl w:ilvl="4">
      <w:start w:val="1"/>
      <w:numFmt w:val="lowerLetter"/>
      <w:isLgl w:val="false"/>
      <w:suff w:val="tab"/>
      <w:lvlText w:val="%5."/>
      <w:lvlJc w:val="left"/>
      <w:pPr>
        <w:ind w:left="4735" w:hanging="360"/>
      </w:pPr>
    </w:lvl>
    <w:lvl w:ilvl="5">
      <w:start w:val="1"/>
      <w:numFmt w:val="lowerRoman"/>
      <w:isLgl w:val="false"/>
      <w:suff w:val="tab"/>
      <w:lvlText w:val="%6."/>
      <w:lvlJc w:val="right"/>
      <w:pPr>
        <w:ind w:left="5455" w:hanging="180"/>
      </w:pPr>
    </w:lvl>
    <w:lvl w:ilvl="6">
      <w:start w:val="1"/>
      <w:numFmt w:val="decimal"/>
      <w:isLgl w:val="false"/>
      <w:suff w:val="tab"/>
      <w:lvlText w:val="%7."/>
      <w:lvlJc w:val="left"/>
      <w:pPr>
        <w:ind w:left="6175" w:hanging="360"/>
      </w:pPr>
    </w:lvl>
    <w:lvl w:ilvl="7">
      <w:start w:val="1"/>
      <w:numFmt w:val="lowerLetter"/>
      <w:isLgl w:val="false"/>
      <w:suff w:val="tab"/>
      <w:lvlText w:val="%8."/>
      <w:lvlJc w:val="left"/>
      <w:pPr>
        <w:ind w:left="6895" w:hanging="360"/>
      </w:pPr>
    </w:lvl>
    <w:lvl w:ilvl="8">
      <w:start w:val="1"/>
      <w:numFmt w:val="lowerRoman"/>
      <w:isLgl w:val="false"/>
      <w:suff w:val="tab"/>
      <w:lvlText w:val="%9."/>
      <w:lvlJc w:val="right"/>
      <w:pPr>
        <w:ind w:left="7615" w:hanging="180"/>
      </w:pPr>
    </w:lvl>
  </w:abstractNum>
  <w:abstractNum w:abstractNumId="24">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5">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6">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7">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num w:numId="1">
    <w:abstractNumId w:val="20"/>
  </w:num>
  <w:num w:numId="2">
    <w:abstractNumId w:val="0"/>
  </w:num>
  <w:num w:numId="3">
    <w:abstractNumId w:val="7"/>
  </w:num>
  <w:num w:numId="4">
    <w:abstractNumId w:val="22"/>
  </w:num>
  <w:num w:numId="5">
    <w:abstractNumId w:val="18"/>
  </w:num>
  <w:num w:numId="6">
    <w:abstractNumId w:val="15"/>
  </w:num>
  <w:num w:numId="7">
    <w:abstractNumId w:val="14"/>
  </w:num>
  <w:num w:numId="8">
    <w:abstractNumId w:val="17"/>
  </w:num>
  <w:num w:numId="9">
    <w:abstractNumId w:val="4"/>
  </w:num>
  <w:num w:numId="10">
    <w:abstractNumId w:val="3"/>
  </w:num>
  <w:num w:numId="11">
    <w:abstractNumId w:val="5"/>
  </w:num>
  <w:num w:numId="12">
    <w:abstractNumId w:val="19"/>
  </w:num>
  <w:num w:numId="13">
    <w:abstractNumId w:val="8"/>
  </w:num>
  <w:num w:numId="14">
    <w:abstractNumId w:val="21"/>
  </w:num>
  <w:num w:numId="15">
    <w:abstractNumId w:val="27"/>
  </w:num>
  <w:num w:numId="16">
    <w:abstractNumId w:val="6"/>
  </w:num>
  <w:num w:numId="17">
    <w:abstractNumId w:val="13"/>
  </w:num>
  <w:num w:numId="18">
    <w:abstractNumId w:val="25"/>
  </w:num>
  <w:num w:numId="19">
    <w:abstractNumId w:val="11"/>
  </w:num>
  <w:num w:numId="20">
    <w:abstractNumId w:val="2"/>
  </w:num>
  <w:num w:numId="21">
    <w:abstractNumId w:val="9"/>
  </w:num>
  <w:num w:numId="22">
    <w:abstractNumId w:val="10"/>
  </w:num>
  <w:num w:numId="23">
    <w:abstractNumId w:val="24"/>
  </w:num>
  <w:num w:numId="24">
    <w:abstractNumId w:val="12"/>
  </w:num>
  <w:num w:numId="25">
    <w:abstractNumId w:val="26"/>
  </w:num>
  <w:num w:numId="26">
    <w:abstractNumId w:val="23"/>
  </w:num>
  <w:num w:numId="27">
    <w:abstractNumId w:val="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88" w:default="1">
    <w:name w:val="Normal"/>
    <w:rPr>
      <w:lang w:eastAsia="en-US"/>
    </w:rPr>
  </w:style>
  <w:style w:type="paragraph" w:styleId="889">
    <w:name w:val="Heading 1"/>
    <w:basedOn w:val="888"/>
    <w:next w:val="888"/>
    <w:link w:val="915"/>
    <w:uiPriority w:val="1"/>
    <w:qFormat/>
    <w:pPr>
      <w:keepLines/>
      <w:keepNext/>
      <w:spacing w:before="480" w:after="200"/>
      <w:outlineLvl w:val="0"/>
    </w:pPr>
    <w:rPr>
      <w:rFonts w:ascii="Arial" w:hAnsi="Arial" w:cs="Arial" w:eastAsia="Arial"/>
      <w:sz w:val="40"/>
      <w:szCs w:val="40"/>
    </w:rPr>
  </w:style>
  <w:style w:type="paragraph" w:styleId="890">
    <w:name w:val="Heading 2"/>
    <w:basedOn w:val="1096"/>
    <w:next w:val="1096"/>
    <w:link w:val="916"/>
    <w:pPr>
      <w:ind w:left="2160"/>
      <w:jc w:val="both"/>
      <w:keepNext/>
      <w:outlineLvl w:val="1"/>
    </w:pPr>
    <w:rPr>
      <w:rFonts w:ascii="Times New Roman" w:hAnsi="Times New Roman" w:eastAsia="Times New Roman"/>
      <w:b/>
      <w:sz w:val="24"/>
      <w:szCs w:val="24"/>
    </w:rPr>
  </w:style>
  <w:style w:type="paragraph" w:styleId="891">
    <w:name w:val="Heading 3"/>
    <w:basedOn w:val="1096"/>
    <w:next w:val="1096"/>
    <w:link w:val="917"/>
    <w:pPr>
      <w:jc w:val="center"/>
      <w:keepNext/>
      <w:outlineLvl w:val="2"/>
    </w:pPr>
    <w:rPr>
      <w:rFonts w:ascii="Arial" w:hAnsi="Arial" w:eastAsia="Arial"/>
      <w:b/>
      <w:sz w:val="24"/>
      <w:szCs w:val="24"/>
      <w:u w:val="single"/>
    </w:rPr>
  </w:style>
  <w:style w:type="paragraph" w:styleId="892">
    <w:name w:val="Heading 4"/>
    <w:basedOn w:val="1096"/>
    <w:next w:val="1096"/>
    <w:link w:val="918"/>
    <w:pPr>
      <w:jc w:val="center"/>
      <w:keepNext/>
      <w:outlineLvl w:val="3"/>
    </w:pPr>
    <w:rPr>
      <w:rFonts w:ascii="Arial" w:hAnsi="Arial" w:eastAsia="Arial"/>
      <w:b/>
      <w:sz w:val="24"/>
      <w:szCs w:val="24"/>
    </w:rPr>
  </w:style>
  <w:style w:type="paragraph" w:styleId="893">
    <w:name w:val="Heading 5"/>
    <w:basedOn w:val="1096"/>
    <w:next w:val="1096"/>
    <w:link w:val="919"/>
    <w:pPr>
      <w:keepNext/>
      <w:outlineLvl w:val="4"/>
    </w:pPr>
    <w:rPr>
      <w:rFonts w:ascii="Times New Roman" w:hAnsi="Times New Roman" w:eastAsia="Times New Roman"/>
      <w:b/>
      <w:sz w:val="24"/>
      <w:szCs w:val="24"/>
    </w:rPr>
  </w:style>
  <w:style w:type="paragraph" w:styleId="894">
    <w:name w:val="Heading 6"/>
    <w:basedOn w:val="1096"/>
    <w:next w:val="1096"/>
    <w:link w:val="920"/>
    <w:pPr>
      <w:keepLines/>
      <w:keepNext/>
      <w:spacing w:before="200" w:after="40"/>
      <w:outlineLvl w:val="5"/>
    </w:pPr>
    <w:rPr>
      <w:b/>
    </w:rPr>
  </w:style>
  <w:style w:type="paragraph" w:styleId="895">
    <w:name w:val="Heading 7"/>
    <w:basedOn w:val="888"/>
    <w:next w:val="888"/>
    <w:link w:val="921"/>
    <w:uiPriority w:val="9"/>
    <w:unhideWhenUsed/>
    <w:qFormat/>
    <w:pPr>
      <w:keepLines/>
      <w:keepNext/>
      <w:spacing w:before="320" w:after="200"/>
      <w:outlineLvl w:val="6"/>
    </w:pPr>
    <w:rPr>
      <w:rFonts w:ascii="Arial" w:hAnsi="Arial" w:cs="Arial" w:eastAsia="Arial"/>
      <w:b/>
      <w:bCs/>
      <w:i/>
      <w:iCs/>
      <w:sz w:val="22"/>
      <w:szCs w:val="22"/>
    </w:rPr>
  </w:style>
  <w:style w:type="paragraph" w:styleId="896">
    <w:name w:val="Heading 8"/>
    <w:basedOn w:val="888"/>
    <w:next w:val="888"/>
    <w:link w:val="922"/>
    <w:uiPriority w:val="9"/>
    <w:unhideWhenUsed/>
    <w:qFormat/>
    <w:pPr>
      <w:keepLines/>
      <w:keepNext/>
      <w:spacing w:before="320" w:after="200"/>
      <w:outlineLvl w:val="7"/>
    </w:pPr>
    <w:rPr>
      <w:rFonts w:ascii="Arial" w:hAnsi="Arial" w:cs="Arial" w:eastAsia="Arial"/>
      <w:i/>
      <w:iCs/>
      <w:sz w:val="22"/>
      <w:szCs w:val="22"/>
    </w:rPr>
  </w:style>
  <w:style w:type="paragraph" w:styleId="897">
    <w:name w:val="Heading 9"/>
    <w:basedOn w:val="888"/>
    <w:next w:val="888"/>
    <w:link w:val="923"/>
    <w:uiPriority w:val="9"/>
    <w:unhideWhenUsed/>
    <w:qFormat/>
    <w:pPr>
      <w:keepLines/>
      <w:keepNext/>
      <w:spacing w:before="320" w:after="200"/>
      <w:outlineLvl w:val="8"/>
    </w:pPr>
    <w:rPr>
      <w:rFonts w:ascii="Arial" w:hAnsi="Arial" w:cs="Arial" w:eastAsia="Arial"/>
      <w:i/>
      <w:iCs/>
      <w:sz w:val="21"/>
      <w:szCs w:val="21"/>
    </w:rPr>
  </w:style>
  <w:style w:type="character" w:styleId="898" w:default="1">
    <w:name w:val="Default Paragraph Font"/>
    <w:uiPriority w:val="1"/>
    <w:semiHidden/>
    <w:unhideWhenUsed/>
  </w:style>
  <w:style w:type="table" w:styleId="899" w:default="1">
    <w:name w:val="Normal Table"/>
    <w:uiPriority w:val="99"/>
    <w:semiHidden/>
    <w:unhideWhenUsed/>
    <w:tblPr>
      <w:tblInd w:w="0" w:type="dxa"/>
      <w:tblCellMar>
        <w:left w:w="108" w:type="dxa"/>
        <w:top w:w="0" w:type="dxa"/>
        <w:right w:w="108" w:type="dxa"/>
        <w:bottom w:w="0" w:type="dxa"/>
      </w:tblCellMar>
    </w:tblPr>
  </w:style>
  <w:style w:type="numbering" w:styleId="900" w:default="1">
    <w:name w:val="No List"/>
    <w:uiPriority w:val="99"/>
    <w:semiHidden/>
    <w:unhideWhenUsed/>
  </w:style>
  <w:style w:type="character" w:styleId="901" w:customStyle="1">
    <w:name w:val="Heading 1 Char"/>
    <w:basedOn w:val="898"/>
    <w:uiPriority w:val="9"/>
    <w:rPr>
      <w:rFonts w:ascii="Arial" w:hAnsi="Arial" w:cs="Arial" w:eastAsia="Arial"/>
      <w:sz w:val="40"/>
      <w:szCs w:val="40"/>
    </w:rPr>
  </w:style>
  <w:style w:type="character" w:styleId="902" w:customStyle="1">
    <w:name w:val="Heading 2 Char"/>
    <w:basedOn w:val="898"/>
    <w:uiPriority w:val="9"/>
    <w:rPr>
      <w:rFonts w:ascii="Arial" w:hAnsi="Arial" w:cs="Arial" w:eastAsia="Arial"/>
      <w:sz w:val="34"/>
    </w:rPr>
  </w:style>
  <w:style w:type="character" w:styleId="903" w:customStyle="1">
    <w:name w:val="Heading 3 Char"/>
    <w:basedOn w:val="898"/>
    <w:uiPriority w:val="9"/>
    <w:rPr>
      <w:rFonts w:ascii="Arial" w:hAnsi="Arial" w:cs="Arial" w:eastAsia="Arial"/>
      <w:sz w:val="30"/>
      <w:szCs w:val="30"/>
    </w:rPr>
  </w:style>
  <w:style w:type="character" w:styleId="904" w:customStyle="1">
    <w:name w:val="Heading 4 Char"/>
    <w:basedOn w:val="898"/>
    <w:uiPriority w:val="9"/>
    <w:rPr>
      <w:rFonts w:ascii="Arial" w:hAnsi="Arial" w:cs="Arial" w:eastAsia="Arial"/>
      <w:b/>
      <w:bCs/>
      <w:sz w:val="26"/>
      <w:szCs w:val="26"/>
    </w:rPr>
  </w:style>
  <w:style w:type="character" w:styleId="905" w:customStyle="1">
    <w:name w:val="Heading 5 Char"/>
    <w:basedOn w:val="898"/>
    <w:uiPriority w:val="9"/>
    <w:rPr>
      <w:rFonts w:ascii="Arial" w:hAnsi="Arial" w:cs="Arial" w:eastAsia="Arial"/>
      <w:b/>
      <w:bCs/>
      <w:sz w:val="24"/>
      <w:szCs w:val="24"/>
    </w:rPr>
  </w:style>
  <w:style w:type="character" w:styleId="906" w:customStyle="1">
    <w:name w:val="Heading 6 Char"/>
    <w:basedOn w:val="898"/>
    <w:uiPriority w:val="9"/>
    <w:rPr>
      <w:rFonts w:ascii="Arial" w:hAnsi="Arial" w:cs="Arial" w:eastAsia="Arial"/>
      <w:b/>
      <w:bCs/>
      <w:sz w:val="22"/>
      <w:szCs w:val="22"/>
    </w:rPr>
  </w:style>
  <w:style w:type="character" w:styleId="907" w:customStyle="1">
    <w:name w:val="Heading 7 Char"/>
    <w:basedOn w:val="898"/>
    <w:uiPriority w:val="9"/>
    <w:rPr>
      <w:rFonts w:ascii="Arial" w:hAnsi="Arial" w:cs="Arial" w:eastAsia="Arial"/>
      <w:b/>
      <w:bCs/>
      <w:i/>
      <w:iCs/>
      <w:sz w:val="22"/>
      <w:szCs w:val="22"/>
    </w:rPr>
  </w:style>
  <w:style w:type="character" w:styleId="908" w:customStyle="1">
    <w:name w:val="Heading 8 Char"/>
    <w:basedOn w:val="898"/>
    <w:uiPriority w:val="9"/>
    <w:rPr>
      <w:rFonts w:ascii="Arial" w:hAnsi="Arial" w:cs="Arial" w:eastAsia="Arial"/>
      <w:i/>
      <w:iCs/>
      <w:sz w:val="22"/>
      <w:szCs w:val="22"/>
    </w:rPr>
  </w:style>
  <w:style w:type="character" w:styleId="909" w:customStyle="1">
    <w:name w:val="Heading 9 Char"/>
    <w:basedOn w:val="898"/>
    <w:uiPriority w:val="9"/>
    <w:rPr>
      <w:rFonts w:ascii="Arial" w:hAnsi="Arial" w:cs="Arial" w:eastAsia="Arial"/>
      <w:i/>
      <w:iCs/>
      <w:sz w:val="21"/>
      <w:szCs w:val="21"/>
    </w:rPr>
  </w:style>
  <w:style w:type="character" w:styleId="910" w:customStyle="1">
    <w:name w:val="Title Char"/>
    <w:basedOn w:val="898"/>
    <w:uiPriority w:val="10"/>
    <w:rPr>
      <w:sz w:val="48"/>
      <w:szCs w:val="48"/>
    </w:rPr>
  </w:style>
  <w:style w:type="character" w:styleId="911" w:customStyle="1">
    <w:name w:val="Subtitle Char"/>
    <w:basedOn w:val="898"/>
    <w:uiPriority w:val="11"/>
    <w:rPr>
      <w:sz w:val="24"/>
      <w:szCs w:val="24"/>
    </w:rPr>
  </w:style>
  <w:style w:type="character" w:styleId="912" w:customStyle="1">
    <w:name w:val="Intense Quote Char"/>
    <w:uiPriority w:val="30"/>
    <w:rPr>
      <w:i/>
    </w:rPr>
  </w:style>
  <w:style w:type="character" w:styleId="913" w:customStyle="1">
    <w:name w:val="Footnote Text Char"/>
    <w:uiPriority w:val="99"/>
    <w:rPr>
      <w:sz w:val="18"/>
    </w:rPr>
  </w:style>
  <w:style w:type="character" w:styleId="914" w:customStyle="1">
    <w:name w:val="Endnote Text Char"/>
    <w:uiPriority w:val="99"/>
    <w:rPr>
      <w:sz w:val="20"/>
    </w:rPr>
  </w:style>
  <w:style w:type="character" w:styleId="915" w:customStyle="1">
    <w:name w:val="Título 1 Char1"/>
    <w:link w:val="889"/>
    <w:uiPriority w:val="9"/>
    <w:rPr>
      <w:rFonts w:ascii="Arial" w:hAnsi="Arial" w:cs="Arial" w:eastAsia="Arial"/>
      <w:sz w:val="40"/>
      <w:szCs w:val="40"/>
    </w:rPr>
  </w:style>
  <w:style w:type="character" w:styleId="916" w:customStyle="1">
    <w:name w:val="Título 2 Char"/>
    <w:link w:val="890"/>
    <w:uiPriority w:val="9"/>
    <w:rPr>
      <w:rFonts w:ascii="Arial" w:hAnsi="Arial" w:cs="Arial" w:eastAsia="Arial"/>
      <w:sz w:val="34"/>
    </w:rPr>
  </w:style>
  <w:style w:type="character" w:styleId="917" w:customStyle="1">
    <w:name w:val="Título 3 Char"/>
    <w:link w:val="891"/>
    <w:uiPriority w:val="9"/>
    <w:rPr>
      <w:rFonts w:ascii="Arial" w:hAnsi="Arial" w:cs="Arial" w:eastAsia="Arial"/>
      <w:sz w:val="30"/>
      <w:szCs w:val="30"/>
    </w:rPr>
  </w:style>
  <w:style w:type="character" w:styleId="918" w:customStyle="1">
    <w:name w:val="Título 4 Char"/>
    <w:link w:val="892"/>
    <w:uiPriority w:val="9"/>
    <w:rPr>
      <w:rFonts w:ascii="Arial" w:hAnsi="Arial" w:cs="Arial" w:eastAsia="Arial"/>
      <w:b/>
      <w:bCs/>
      <w:sz w:val="26"/>
      <w:szCs w:val="26"/>
    </w:rPr>
  </w:style>
  <w:style w:type="character" w:styleId="919" w:customStyle="1">
    <w:name w:val="Título 5 Char"/>
    <w:link w:val="893"/>
    <w:uiPriority w:val="9"/>
    <w:rPr>
      <w:rFonts w:ascii="Arial" w:hAnsi="Arial" w:cs="Arial" w:eastAsia="Arial"/>
      <w:b/>
      <w:bCs/>
      <w:sz w:val="24"/>
      <w:szCs w:val="24"/>
    </w:rPr>
  </w:style>
  <w:style w:type="character" w:styleId="920" w:customStyle="1">
    <w:name w:val="Título 6 Char"/>
    <w:link w:val="894"/>
    <w:uiPriority w:val="9"/>
    <w:rPr>
      <w:rFonts w:ascii="Arial" w:hAnsi="Arial" w:cs="Arial" w:eastAsia="Arial"/>
      <w:b/>
      <w:bCs/>
      <w:sz w:val="22"/>
      <w:szCs w:val="22"/>
    </w:rPr>
  </w:style>
  <w:style w:type="character" w:styleId="921" w:customStyle="1">
    <w:name w:val="Título 7 Char"/>
    <w:link w:val="895"/>
    <w:uiPriority w:val="9"/>
    <w:rPr>
      <w:rFonts w:ascii="Arial" w:hAnsi="Arial" w:cs="Arial" w:eastAsia="Arial"/>
      <w:b/>
      <w:bCs/>
      <w:i/>
      <w:iCs/>
      <w:sz w:val="22"/>
      <w:szCs w:val="22"/>
    </w:rPr>
  </w:style>
  <w:style w:type="character" w:styleId="922" w:customStyle="1">
    <w:name w:val="Título 8 Char"/>
    <w:link w:val="896"/>
    <w:uiPriority w:val="9"/>
    <w:rPr>
      <w:rFonts w:ascii="Arial" w:hAnsi="Arial" w:cs="Arial" w:eastAsia="Arial"/>
      <w:i/>
      <w:iCs/>
      <w:sz w:val="22"/>
      <w:szCs w:val="22"/>
    </w:rPr>
  </w:style>
  <w:style w:type="character" w:styleId="923" w:customStyle="1">
    <w:name w:val="Título 9 Char"/>
    <w:link w:val="897"/>
    <w:uiPriority w:val="9"/>
    <w:rPr>
      <w:rFonts w:ascii="Arial" w:hAnsi="Arial" w:cs="Arial" w:eastAsia="Arial"/>
      <w:i/>
      <w:iCs/>
      <w:sz w:val="21"/>
      <w:szCs w:val="21"/>
    </w:rPr>
  </w:style>
  <w:style w:type="paragraph" w:styleId="924">
    <w:name w:val="List Paragraph"/>
    <w:basedOn w:val="888"/>
    <w:link w:val="1125"/>
    <w:qFormat/>
    <w:pPr>
      <w:contextualSpacing/>
      <w:ind w:left="720"/>
      <w:spacing w:after="160" w:line="259" w:lineRule="auto"/>
    </w:pPr>
    <w:rPr>
      <w:rFonts w:ascii="Calibri" w:hAnsi="Calibri" w:eastAsia="Calibri"/>
      <w:sz w:val="22"/>
      <w:szCs w:val="22"/>
    </w:rPr>
  </w:style>
  <w:style w:type="paragraph" w:styleId="925">
    <w:name w:val="No Spacing"/>
    <w:uiPriority w:val="1"/>
    <w:qFormat/>
    <w:rPr>
      <w:lang w:eastAsia="zh-CN"/>
    </w:rPr>
  </w:style>
  <w:style w:type="paragraph" w:styleId="926">
    <w:name w:val="Title"/>
    <w:basedOn w:val="888"/>
    <w:next w:val="888"/>
    <w:link w:val="927"/>
    <w:uiPriority w:val="1"/>
    <w:qFormat/>
    <w:pPr>
      <w:contextualSpacing/>
      <w:spacing w:before="300" w:after="200"/>
    </w:pPr>
    <w:rPr>
      <w:sz w:val="48"/>
      <w:szCs w:val="48"/>
    </w:rPr>
  </w:style>
  <w:style w:type="character" w:styleId="927" w:customStyle="1">
    <w:name w:val="Título Char1"/>
    <w:link w:val="926"/>
    <w:uiPriority w:val="10"/>
    <w:rPr>
      <w:sz w:val="48"/>
      <w:szCs w:val="48"/>
    </w:rPr>
  </w:style>
  <w:style w:type="paragraph" w:styleId="928">
    <w:name w:val="Subtitle"/>
    <w:basedOn w:val="1096"/>
    <w:next w:val="1096"/>
    <w:link w:val="929"/>
    <w:pPr>
      <w:keepLines/>
      <w:keepNext/>
      <w:spacing w:before="360" w:after="80"/>
    </w:pPr>
    <w:rPr>
      <w:rFonts w:ascii="Georgia" w:hAnsi="Georgia" w:eastAsia="Georgia"/>
      <w:i/>
      <w:color w:val="666666"/>
      <w:sz w:val="48"/>
      <w:szCs w:val="48"/>
    </w:rPr>
  </w:style>
  <w:style w:type="character" w:styleId="929" w:customStyle="1">
    <w:name w:val="Subtítulo Char"/>
    <w:link w:val="928"/>
    <w:uiPriority w:val="11"/>
    <w:rPr>
      <w:sz w:val="24"/>
      <w:szCs w:val="24"/>
    </w:rPr>
  </w:style>
  <w:style w:type="paragraph" w:styleId="930">
    <w:name w:val="Quote"/>
    <w:basedOn w:val="888"/>
    <w:next w:val="888"/>
    <w:link w:val="1101"/>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eastAsia="Calibri"/>
      <w:i/>
      <w:iCs/>
      <w:color w:val="000000"/>
      <w:szCs w:val="24"/>
    </w:rPr>
  </w:style>
  <w:style w:type="paragraph" w:styleId="931">
    <w:name w:val="Intense Quote"/>
    <w:basedOn w:val="888"/>
    <w:next w:val="888"/>
    <w:link w:val="932"/>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32" w:customStyle="1">
    <w:name w:val="Citação Intensa Char"/>
    <w:link w:val="931"/>
    <w:uiPriority w:val="30"/>
    <w:rPr>
      <w:i/>
    </w:rPr>
  </w:style>
  <w:style w:type="paragraph" w:styleId="933">
    <w:name w:val="Header"/>
    <w:basedOn w:val="888"/>
    <w:link w:val="1085"/>
    <w:uiPriority w:val="99"/>
    <w:pPr>
      <w:tabs>
        <w:tab w:val="center" w:pos="4320" w:leader="none"/>
        <w:tab w:val="right" w:pos="8640" w:leader="none"/>
      </w:tabs>
    </w:pPr>
  </w:style>
  <w:style w:type="character" w:styleId="934" w:customStyle="1">
    <w:name w:val="Header Char"/>
    <w:uiPriority w:val="99"/>
  </w:style>
  <w:style w:type="paragraph" w:styleId="935">
    <w:name w:val="Footer"/>
    <w:basedOn w:val="888"/>
    <w:link w:val="1086"/>
    <w:uiPriority w:val="99"/>
    <w:pPr>
      <w:tabs>
        <w:tab w:val="center" w:pos="4320" w:leader="none"/>
        <w:tab w:val="right" w:pos="8640" w:leader="none"/>
      </w:tabs>
    </w:pPr>
  </w:style>
  <w:style w:type="character" w:styleId="936" w:customStyle="1">
    <w:name w:val="Footer Char"/>
    <w:uiPriority w:val="99"/>
  </w:style>
  <w:style w:type="paragraph" w:styleId="937">
    <w:name w:val="Caption"/>
    <w:basedOn w:val="888"/>
    <w:next w:val="888"/>
    <w:uiPriority w:val="35"/>
    <w:semiHidden/>
    <w:unhideWhenUsed/>
    <w:qFormat/>
    <w:pPr>
      <w:spacing w:line="276" w:lineRule="auto"/>
    </w:pPr>
    <w:rPr>
      <w:b/>
      <w:bCs/>
      <w:color w:val="4F81BD"/>
      <w:sz w:val="18"/>
      <w:szCs w:val="18"/>
    </w:rPr>
  </w:style>
  <w:style w:type="character" w:styleId="938" w:customStyle="1">
    <w:name w:val="Caption Char"/>
    <w:uiPriority w:val="99"/>
  </w:style>
  <w:style w:type="table" w:styleId="939">
    <w:name w:val="Table Grid"/>
    <w:basedOn w:val="899"/>
    <w:uiPriority w:val="59"/>
    <w:qFormat/>
    <w:rPr>
      <w:rFonts w:ascii="Cambria" w:hAnsi="Cambria" w:eastAsia="MS Mincho"/>
      <w:sz w:val="22"/>
      <w:szCs w:val="22"/>
    </w:rPr>
    <w:tblPr/>
  </w:style>
  <w:style w:type="table" w:styleId="940" w:customStyle="1">
    <w:name w:val="Table Grid Light"/>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41">
    <w:name w:val="Plain Table 1"/>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42">
    <w:name w:val="Plain Table 2"/>
    <w:uiPriority w:val="59"/>
    <w:rPr>
      <w:lang w:eastAsia="zh-CN"/>
    </w:rPr>
    <w:tblPr>
      <w:tblInd w:w="0" w:type="dxa"/>
      <w:tblBorders>
        <w:top w:val="single" w:color="000000" w:sz="4" w:space="0"/>
        <w:left w:val="none" w:color="000000" w:sz="4" w:space="0"/>
        <w:bottom w:val="single" w:color="000000" w:sz="4" w:space="0"/>
        <w:right w:val="none" w:color="000000" w:sz="4" w:space="0"/>
      </w:tblBorders>
      <w:tblCellMar>
        <w:left w:w="108" w:type="dxa"/>
        <w:top w:w="0" w:type="dxa"/>
        <w:right w:w="108" w:type="dxa"/>
        <w:bottom w:w="0" w:type="dxa"/>
      </w:tblCellMar>
    </w:tblPr>
  </w:style>
  <w:style w:type="table" w:styleId="943">
    <w:name w:val="Plain Table 3"/>
    <w:uiPriority w:val="99"/>
    <w:rPr>
      <w:lang w:eastAsia="zh-CN"/>
    </w:rPr>
    <w:tblPr>
      <w:tblStyleRowBandSize w:val="1"/>
      <w:tblStyleColBandSize w:val="1"/>
      <w:tblInd w:w="0" w:type="dxa"/>
      <w:tblCellMar>
        <w:left w:w="0" w:type="dxa"/>
        <w:top w:w="0" w:type="dxa"/>
        <w:right w:w="0" w:type="dxa"/>
        <w:bottom w:w="0" w:type="dxa"/>
      </w:tblCellMar>
    </w:tblPr>
  </w:style>
  <w:style w:type="table" w:styleId="944">
    <w:name w:val="Plain Table 4"/>
    <w:uiPriority w:val="99"/>
    <w:rPr>
      <w:lang w:eastAsia="zh-CN"/>
    </w:rPr>
    <w:tblPr>
      <w:tblStyleRowBandSize w:val="1"/>
      <w:tblStyleColBandSize w:val="1"/>
      <w:tblInd w:w="0" w:type="dxa"/>
      <w:tblCellMar>
        <w:left w:w="0" w:type="dxa"/>
        <w:top w:w="0" w:type="dxa"/>
        <w:right w:w="0" w:type="dxa"/>
        <w:bottom w:w="0" w:type="dxa"/>
      </w:tblCellMar>
    </w:tblPr>
  </w:style>
  <w:style w:type="table" w:styleId="945">
    <w:name w:val="Plain Table 5"/>
    <w:uiPriority w:val="99"/>
    <w:rPr>
      <w:lang w:eastAsia="zh-CN"/>
    </w:rPr>
    <w:tblPr>
      <w:tblStyleRowBandSize w:val="1"/>
      <w:tblStyleColBandSize w:val="1"/>
      <w:tblInd w:w="0" w:type="dxa"/>
      <w:tblCellMar>
        <w:left w:w="0" w:type="dxa"/>
        <w:top w:w="0" w:type="dxa"/>
        <w:right w:w="0" w:type="dxa"/>
        <w:bottom w:w="0" w:type="dxa"/>
      </w:tblCellMar>
    </w:tblPr>
  </w:style>
  <w:style w:type="table" w:styleId="946">
    <w:name w:val="Grid Table 1 Light"/>
    <w:uiPriority w:val="99"/>
    <w:rPr>
      <w:lang w:eastAsia="zh-CN"/>
    </w:rPr>
    <w:tblPr>
      <w:tblStyleRowBandSize w:val="1"/>
      <w:tblStyleColBandSize w:val="1"/>
      <w:tblInd w:w="0" w:type="dxa"/>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left w:w="0" w:type="dxa"/>
        <w:top w:w="0" w:type="dxa"/>
        <w:right w:w="0" w:type="dxa"/>
        <w:bottom w:w="0" w:type="dxa"/>
      </w:tblCellMar>
    </w:tblPr>
  </w:style>
  <w:style w:type="table" w:styleId="947" w:customStyle="1">
    <w:name w:val="Grid Table 1 Light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948" w:customStyle="1">
    <w:name w:val="Grid Table 1 Light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949" w:customStyle="1">
    <w:name w:val="Grid Table 1 Light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950" w:customStyle="1">
    <w:name w:val="Grid Table 1 Light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951" w:customStyle="1">
    <w:name w:val="Grid Table 1 Light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952" w:customStyle="1">
    <w:name w:val="Grid Table 1 Light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table" w:styleId="953">
    <w:name w:val="Grid Table 2"/>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54" w:customStyle="1">
    <w:name w:val="Grid Table 2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55" w:customStyle="1">
    <w:name w:val="Grid Table 2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56" w:customStyle="1">
    <w:name w:val="Grid Table 2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57" w:customStyle="1">
    <w:name w:val="Grid Table 2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58" w:customStyle="1">
    <w:name w:val="Grid Table 2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59" w:customStyle="1">
    <w:name w:val="Grid Table 2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60">
    <w:name w:val="Grid Table 3"/>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61" w:customStyle="1">
    <w:name w:val="Grid Table 3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62" w:customStyle="1">
    <w:name w:val="Grid Table 3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63" w:customStyle="1">
    <w:name w:val="Grid Table 3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64" w:customStyle="1">
    <w:name w:val="Grid Table 3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65" w:customStyle="1">
    <w:name w:val="Grid Table 3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66" w:customStyle="1">
    <w:name w:val="Grid Table 3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67">
    <w:name w:val="Grid Table 4"/>
    <w:uiPriority w:val="59"/>
    <w:rPr>
      <w:lang w:eastAsia="zh-CN"/>
    </w:rPr>
    <w:tblPr>
      <w:tblStyleRowBandSize w:val="1"/>
      <w:tblStyleColBandSize w:val="1"/>
      <w:tblInd w:w="0" w:type="dxa"/>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left w:w="0" w:type="dxa"/>
        <w:top w:w="0" w:type="dxa"/>
        <w:right w:w="0" w:type="dxa"/>
        <w:bottom w:w="0" w:type="dxa"/>
      </w:tblCellMar>
    </w:tblPr>
  </w:style>
  <w:style w:type="table" w:styleId="968" w:customStyle="1">
    <w:name w:val="Grid Table 4 - Accent 1"/>
    <w:uiPriority w:val="5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left w:w="0" w:type="dxa"/>
        <w:top w:w="0" w:type="dxa"/>
        <w:right w:w="0" w:type="dxa"/>
        <w:bottom w:w="0" w:type="dxa"/>
      </w:tblCellMar>
    </w:tblPr>
  </w:style>
  <w:style w:type="table" w:styleId="969" w:customStyle="1">
    <w:name w:val="Grid Table 4 - Accent 2"/>
    <w:uiPriority w:val="5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left w:w="0" w:type="dxa"/>
        <w:top w:w="0" w:type="dxa"/>
        <w:right w:w="0" w:type="dxa"/>
        <w:bottom w:w="0" w:type="dxa"/>
      </w:tblCellMar>
    </w:tblPr>
  </w:style>
  <w:style w:type="table" w:styleId="970" w:customStyle="1">
    <w:name w:val="Grid Table 4 - Accent 3"/>
    <w:uiPriority w:val="5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left w:w="0" w:type="dxa"/>
        <w:top w:w="0" w:type="dxa"/>
        <w:right w:w="0" w:type="dxa"/>
        <w:bottom w:w="0" w:type="dxa"/>
      </w:tblCellMar>
    </w:tblPr>
  </w:style>
  <w:style w:type="table" w:styleId="971" w:customStyle="1">
    <w:name w:val="Grid Table 4 - Accent 4"/>
    <w:uiPriority w:val="5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left w:w="0" w:type="dxa"/>
        <w:top w:w="0" w:type="dxa"/>
        <w:right w:w="0" w:type="dxa"/>
        <w:bottom w:w="0" w:type="dxa"/>
      </w:tblCellMar>
    </w:tblPr>
  </w:style>
  <w:style w:type="table" w:styleId="972" w:customStyle="1">
    <w:name w:val="Grid Table 4 - Accent 5"/>
    <w:uiPriority w:val="5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73" w:customStyle="1">
    <w:name w:val="Grid Table 4 - Accent 6"/>
    <w:uiPriority w:val="5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74">
    <w:name w:val="Grid Table 5 Dark"/>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CellMar>
        <w:left w:w="0" w:type="dxa"/>
        <w:top w:w="0" w:type="dxa"/>
        <w:right w:w="0" w:type="dxa"/>
        <w:bottom w:w="0" w:type="dxa"/>
      </w:tblCellMar>
    </w:tblPr>
  </w:style>
  <w:style w:type="table" w:styleId="975" w:customStyle="1">
    <w:name w:val="Grid Table 5 Dark- Accent 1"/>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CellMar>
        <w:left w:w="0" w:type="dxa"/>
        <w:top w:w="0" w:type="dxa"/>
        <w:right w:w="0" w:type="dxa"/>
        <w:bottom w:w="0" w:type="dxa"/>
      </w:tblCellMar>
    </w:tblPr>
  </w:style>
  <w:style w:type="table" w:styleId="976" w:customStyle="1">
    <w:name w:val="Grid Table 5 Dark - Accent 2"/>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CellMar>
        <w:left w:w="0" w:type="dxa"/>
        <w:top w:w="0" w:type="dxa"/>
        <w:right w:w="0" w:type="dxa"/>
        <w:bottom w:w="0" w:type="dxa"/>
      </w:tblCellMar>
    </w:tblPr>
  </w:style>
  <w:style w:type="table" w:styleId="977" w:customStyle="1">
    <w:name w:val="Grid Table 5 Dark - Accent 3"/>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CellMar>
        <w:left w:w="0" w:type="dxa"/>
        <w:top w:w="0" w:type="dxa"/>
        <w:right w:w="0" w:type="dxa"/>
        <w:bottom w:w="0" w:type="dxa"/>
      </w:tblCellMar>
    </w:tblPr>
  </w:style>
  <w:style w:type="table" w:styleId="978" w:customStyle="1">
    <w:name w:val="Grid Table 5 Dark- Accent 4"/>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CellMar>
        <w:left w:w="0" w:type="dxa"/>
        <w:top w:w="0" w:type="dxa"/>
        <w:right w:w="0" w:type="dxa"/>
        <w:bottom w:w="0" w:type="dxa"/>
      </w:tblCellMar>
    </w:tblPr>
  </w:style>
  <w:style w:type="table" w:styleId="979" w:customStyle="1">
    <w:name w:val="Grid Table 5 Dark - Accent 5"/>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CellMar>
        <w:left w:w="0" w:type="dxa"/>
        <w:top w:w="0" w:type="dxa"/>
        <w:right w:w="0" w:type="dxa"/>
        <w:bottom w:w="0" w:type="dxa"/>
      </w:tblCellMar>
    </w:tblPr>
  </w:style>
  <w:style w:type="table" w:styleId="980" w:customStyle="1">
    <w:name w:val="Grid Table 5 Dark - Accent 6"/>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CellMar>
        <w:left w:w="0" w:type="dxa"/>
        <w:top w:w="0" w:type="dxa"/>
        <w:right w:w="0" w:type="dxa"/>
        <w:bottom w:w="0" w:type="dxa"/>
      </w:tblCellMar>
    </w:tblPr>
  </w:style>
  <w:style w:type="table" w:styleId="981">
    <w:name w:val="Grid Table 6 Colorful"/>
    <w:uiPriority w:val="99"/>
    <w:rPr>
      <w:lang w:eastAsia="zh-CN"/>
    </w:rPr>
    <w:tblPr>
      <w:tblStyleRowBandSize w:val="1"/>
      <w:tblStyleColBandSize w:val="1"/>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982" w:customStyle="1">
    <w:name w:val="Grid Table 6 Colorful - Accent 1"/>
    <w:uiPriority w:val="99"/>
    <w:rPr>
      <w:lang w:eastAsia="zh-CN"/>
    </w:rPr>
    <w:tblPr>
      <w:tblStyleRowBandSize w:val="1"/>
      <w:tblStyleColBandSize w:val="1"/>
      <w:tblInd w:w="0" w:type="dxa"/>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983" w:customStyle="1">
    <w:name w:val="Grid Table 6 Colorful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84" w:customStyle="1">
    <w:name w:val="Grid Table 6 Colorful - Accent 3"/>
    <w:uiPriority w:val="99"/>
    <w:rPr>
      <w:lang w:eastAsia="zh-CN"/>
    </w:rPr>
    <w:tblPr>
      <w:tblStyleRowBandSize w:val="1"/>
      <w:tblStyleColBandSize w:val="1"/>
      <w:tblInd w:w="0" w:type="dxa"/>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85" w:customStyle="1">
    <w:name w:val="Grid Table 6 Colorful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86" w:customStyle="1">
    <w:name w:val="Grid Table 6 Colorful - Accent 5"/>
    <w:uiPriority w:val="99"/>
    <w:rPr>
      <w:lang w:eastAsia="zh-CN"/>
    </w:rPr>
    <w:tblPr>
      <w:tblStyleRowBandSize w:val="1"/>
      <w:tblStyleColBandSize w:val="1"/>
      <w:tblInd w:w="0" w:type="dxa"/>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87" w:customStyle="1">
    <w:name w:val="Grid Table 6 Colorful - Accent 6"/>
    <w:uiPriority w:val="99"/>
    <w:rPr>
      <w:lang w:eastAsia="zh-CN"/>
    </w:rPr>
    <w:tblPr>
      <w:tblStyleRowBandSize w:val="1"/>
      <w:tblStyleColBandSize w:val="1"/>
      <w:tblInd w:w="0" w:type="dxa"/>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88">
    <w:name w:val="Grid Table 7 Colorful"/>
    <w:uiPriority w:val="99"/>
    <w:rPr>
      <w:lang w:eastAsia="zh-CN"/>
    </w:rPr>
    <w:tblPr>
      <w:tblStyleRowBandSize w:val="1"/>
      <w:tblStyleColBandSize w:val="1"/>
      <w:tblInd w:w="0" w:type="dxa"/>
      <w:tblBorders>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989" w:customStyle="1">
    <w:name w:val="Grid Table 7 Colorful - Accent 1"/>
    <w:uiPriority w:val="99"/>
    <w:rPr>
      <w:lang w:eastAsia="zh-CN"/>
    </w:rPr>
    <w:tblPr>
      <w:tblStyleRowBandSize w:val="1"/>
      <w:tblStyleColBandSize w:val="1"/>
      <w:tblInd w:w="0" w:type="dxa"/>
      <w:tblBorders>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990" w:customStyle="1">
    <w:name w:val="Grid Table 7 Colorful - Accent 2"/>
    <w:uiPriority w:val="99"/>
    <w:rPr>
      <w:lang w:eastAsia="zh-CN"/>
    </w:rPr>
    <w:tblPr>
      <w:tblStyleRowBandSize w:val="1"/>
      <w:tblStyleColBandSize w:val="1"/>
      <w:tblInd w:w="0" w:type="dxa"/>
      <w:tblBorders>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91" w:customStyle="1">
    <w:name w:val="Grid Table 7 Colorful - Accent 3"/>
    <w:uiPriority w:val="99"/>
    <w:rPr>
      <w:lang w:eastAsia="zh-CN"/>
    </w:rPr>
    <w:tblPr>
      <w:tblStyleRowBandSize w:val="1"/>
      <w:tblStyleColBandSize w:val="1"/>
      <w:tblInd w:w="0" w:type="dxa"/>
      <w:tblBorders>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92" w:customStyle="1">
    <w:name w:val="Grid Table 7 Colorful - Accent 4"/>
    <w:uiPriority w:val="99"/>
    <w:rPr>
      <w:lang w:eastAsia="zh-CN"/>
    </w:rPr>
    <w:tblPr>
      <w:tblStyleRowBandSize w:val="1"/>
      <w:tblStyleColBandSize w:val="1"/>
      <w:tblInd w:w="0" w:type="dxa"/>
      <w:tblBorders>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93" w:customStyle="1">
    <w:name w:val="Grid Table 7 Colorful - Accent 5"/>
    <w:uiPriority w:val="99"/>
    <w:rPr>
      <w:lang w:eastAsia="zh-CN"/>
    </w:rPr>
    <w:tblPr>
      <w:tblStyleRowBandSize w:val="1"/>
      <w:tblStyleColBandSize w:val="1"/>
      <w:tblInd w:w="0" w:type="dxa"/>
      <w:tblBorders>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94" w:customStyle="1">
    <w:name w:val="Grid Table 7 Colorful - Accent 6"/>
    <w:uiPriority w:val="99"/>
    <w:rPr>
      <w:lang w:eastAsia="zh-CN"/>
    </w:rPr>
    <w:tblPr>
      <w:tblStyleRowBandSize w:val="1"/>
      <w:tblStyleColBandSize w:val="1"/>
      <w:tblInd w:w="0" w:type="dxa"/>
      <w:tblBorders>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95">
    <w:name w:val="List Table 1 Light"/>
    <w:uiPriority w:val="99"/>
    <w:rPr>
      <w:lang w:eastAsia="zh-CN"/>
    </w:rPr>
    <w:tblPr>
      <w:tblStyleRowBandSize w:val="1"/>
      <w:tblStyleColBandSize w:val="1"/>
      <w:tblInd w:w="0" w:type="dxa"/>
      <w:tblCellMar>
        <w:left w:w="0" w:type="dxa"/>
        <w:top w:w="0" w:type="dxa"/>
        <w:right w:w="0" w:type="dxa"/>
        <w:bottom w:w="0" w:type="dxa"/>
      </w:tblCellMar>
    </w:tblPr>
  </w:style>
  <w:style w:type="table" w:styleId="996" w:customStyle="1">
    <w:name w:val="List Table 1 Light - Accent 1"/>
    <w:uiPriority w:val="99"/>
    <w:rPr>
      <w:lang w:eastAsia="zh-CN"/>
    </w:rPr>
    <w:tblPr>
      <w:tblStyleRowBandSize w:val="1"/>
      <w:tblStyleColBandSize w:val="1"/>
      <w:tblInd w:w="0" w:type="dxa"/>
      <w:tblCellMar>
        <w:left w:w="0" w:type="dxa"/>
        <w:top w:w="0" w:type="dxa"/>
        <w:right w:w="0" w:type="dxa"/>
        <w:bottom w:w="0" w:type="dxa"/>
      </w:tblCellMar>
    </w:tblPr>
  </w:style>
  <w:style w:type="table" w:styleId="997" w:customStyle="1">
    <w:name w:val="List Table 1 Light - Accent 2"/>
    <w:uiPriority w:val="99"/>
    <w:rPr>
      <w:lang w:eastAsia="zh-CN"/>
    </w:rPr>
    <w:tblPr>
      <w:tblStyleRowBandSize w:val="1"/>
      <w:tblStyleColBandSize w:val="1"/>
      <w:tblInd w:w="0" w:type="dxa"/>
      <w:tblCellMar>
        <w:left w:w="0" w:type="dxa"/>
        <w:top w:w="0" w:type="dxa"/>
        <w:right w:w="0" w:type="dxa"/>
        <w:bottom w:w="0" w:type="dxa"/>
      </w:tblCellMar>
    </w:tblPr>
  </w:style>
  <w:style w:type="table" w:styleId="998" w:customStyle="1">
    <w:name w:val="List Table 1 Light - Accent 3"/>
    <w:uiPriority w:val="99"/>
    <w:rPr>
      <w:lang w:eastAsia="zh-CN"/>
    </w:rPr>
    <w:tblPr>
      <w:tblStyleRowBandSize w:val="1"/>
      <w:tblStyleColBandSize w:val="1"/>
      <w:tblInd w:w="0" w:type="dxa"/>
      <w:tblCellMar>
        <w:left w:w="0" w:type="dxa"/>
        <w:top w:w="0" w:type="dxa"/>
        <w:right w:w="0" w:type="dxa"/>
        <w:bottom w:w="0" w:type="dxa"/>
      </w:tblCellMar>
    </w:tblPr>
  </w:style>
  <w:style w:type="table" w:styleId="999" w:customStyle="1">
    <w:name w:val="List Table 1 Light - Accent 4"/>
    <w:uiPriority w:val="99"/>
    <w:rPr>
      <w:lang w:eastAsia="zh-CN"/>
    </w:rPr>
    <w:tblPr>
      <w:tblStyleRowBandSize w:val="1"/>
      <w:tblStyleColBandSize w:val="1"/>
      <w:tblInd w:w="0" w:type="dxa"/>
      <w:tblCellMar>
        <w:left w:w="0" w:type="dxa"/>
        <w:top w:w="0" w:type="dxa"/>
        <w:right w:w="0" w:type="dxa"/>
        <w:bottom w:w="0" w:type="dxa"/>
      </w:tblCellMar>
    </w:tblPr>
  </w:style>
  <w:style w:type="table" w:styleId="1000" w:customStyle="1">
    <w:name w:val="List Table 1 Light - Accent 5"/>
    <w:uiPriority w:val="99"/>
    <w:rPr>
      <w:lang w:eastAsia="zh-CN"/>
    </w:rPr>
    <w:tblPr>
      <w:tblStyleRowBandSize w:val="1"/>
      <w:tblStyleColBandSize w:val="1"/>
      <w:tblInd w:w="0" w:type="dxa"/>
      <w:tblCellMar>
        <w:left w:w="0" w:type="dxa"/>
        <w:top w:w="0" w:type="dxa"/>
        <w:right w:w="0" w:type="dxa"/>
        <w:bottom w:w="0" w:type="dxa"/>
      </w:tblCellMar>
    </w:tblPr>
  </w:style>
  <w:style w:type="table" w:styleId="1001" w:customStyle="1">
    <w:name w:val="List Table 1 Light - Accent 6"/>
    <w:uiPriority w:val="99"/>
    <w:rPr>
      <w:lang w:eastAsia="zh-CN"/>
    </w:rPr>
    <w:tblPr>
      <w:tblStyleRowBandSize w:val="1"/>
      <w:tblStyleColBandSize w:val="1"/>
      <w:tblInd w:w="0" w:type="dxa"/>
      <w:tblCellMar>
        <w:left w:w="0" w:type="dxa"/>
        <w:top w:w="0" w:type="dxa"/>
        <w:right w:w="0" w:type="dxa"/>
        <w:bottom w:w="0" w:type="dxa"/>
      </w:tblCellMar>
    </w:tblPr>
  </w:style>
  <w:style w:type="table" w:styleId="1002">
    <w:name w:val="List Table 2"/>
    <w:uiPriority w:val="99"/>
    <w:rPr>
      <w:lang w:eastAsia="zh-CN"/>
    </w:rPr>
    <w:tblPr>
      <w:tblStyleRowBandSize w:val="1"/>
      <w:tblStyleColBandSize w:val="1"/>
      <w:tblInd w:w="0" w:type="dxa"/>
      <w:tblBorders>
        <w:top w:val="single" w:color="6F6F6F" w:sz="4" w:space="0"/>
        <w:bottom w:val="single" w:color="6F6F6F" w:sz="4" w:space="0"/>
        <w:insideH w:val="single" w:color="6F6F6F" w:sz="4" w:space="0"/>
      </w:tblBorders>
      <w:tblCellMar>
        <w:left w:w="0" w:type="dxa"/>
        <w:top w:w="0" w:type="dxa"/>
        <w:right w:w="0" w:type="dxa"/>
        <w:bottom w:w="0" w:type="dxa"/>
      </w:tblCellMar>
    </w:tblPr>
  </w:style>
  <w:style w:type="table" w:styleId="1003" w:customStyle="1">
    <w:name w:val="List Table 2 - Accent 1"/>
    <w:uiPriority w:val="99"/>
    <w:rPr>
      <w:lang w:eastAsia="zh-CN"/>
    </w:rPr>
    <w:tblPr>
      <w:tblStyleRowBandSize w:val="1"/>
      <w:tblStyleColBandSize w:val="1"/>
      <w:tblInd w:w="0" w:type="dxa"/>
      <w:tblBorders>
        <w:top w:val="single" w:color="9BB7D9" w:sz="4" w:space="0"/>
        <w:bottom w:val="single" w:color="9BB7D9" w:sz="4" w:space="0"/>
        <w:insideH w:val="single" w:color="9BB7D9" w:sz="4" w:space="0"/>
      </w:tblBorders>
      <w:tblCellMar>
        <w:left w:w="0" w:type="dxa"/>
        <w:top w:w="0" w:type="dxa"/>
        <w:right w:w="0" w:type="dxa"/>
        <w:bottom w:w="0" w:type="dxa"/>
      </w:tblCellMar>
    </w:tblPr>
  </w:style>
  <w:style w:type="table" w:styleId="1004" w:customStyle="1">
    <w:name w:val="List Table 2 - Accent 2"/>
    <w:uiPriority w:val="99"/>
    <w:rPr>
      <w:lang w:eastAsia="zh-CN"/>
    </w:rPr>
    <w:tblPr>
      <w:tblStyleRowBandSize w:val="1"/>
      <w:tblStyleColBandSize w:val="1"/>
      <w:tblInd w:w="0" w:type="dxa"/>
      <w:tblBorders>
        <w:top w:val="single" w:color="DB9B9A" w:sz="4" w:space="0"/>
        <w:bottom w:val="single" w:color="DB9B9A" w:sz="4" w:space="0"/>
        <w:insideH w:val="single" w:color="DB9B9A" w:sz="4" w:space="0"/>
      </w:tblBorders>
      <w:tblCellMar>
        <w:left w:w="0" w:type="dxa"/>
        <w:top w:w="0" w:type="dxa"/>
        <w:right w:w="0" w:type="dxa"/>
        <w:bottom w:w="0" w:type="dxa"/>
      </w:tblCellMar>
    </w:tblPr>
  </w:style>
  <w:style w:type="table" w:styleId="1005" w:customStyle="1">
    <w:name w:val="List Table 2 - Accent 3"/>
    <w:uiPriority w:val="99"/>
    <w:rPr>
      <w:lang w:eastAsia="zh-CN"/>
    </w:rPr>
    <w:tblPr>
      <w:tblStyleRowBandSize w:val="1"/>
      <w:tblStyleColBandSize w:val="1"/>
      <w:tblInd w:w="0" w:type="dxa"/>
      <w:tblBorders>
        <w:top w:val="single" w:color="C6D8A1" w:sz="4" w:space="0"/>
        <w:bottom w:val="single" w:color="C6D8A1" w:sz="4" w:space="0"/>
        <w:insideH w:val="single" w:color="C6D8A1" w:sz="4" w:space="0"/>
      </w:tblBorders>
      <w:tblCellMar>
        <w:left w:w="0" w:type="dxa"/>
        <w:top w:w="0" w:type="dxa"/>
        <w:right w:w="0" w:type="dxa"/>
        <w:bottom w:w="0" w:type="dxa"/>
      </w:tblCellMar>
    </w:tblPr>
  </w:style>
  <w:style w:type="table" w:styleId="1006" w:customStyle="1">
    <w:name w:val="List Table 2 - Accent 4"/>
    <w:uiPriority w:val="99"/>
    <w:rPr>
      <w:lang w:eastAsia="zh-CN"/>
    </w:rPr>
    <w:tblPr>
      <w:tblStyleRowBandSize w:val="1"/>
      <w:tblStyleColBandSize w:val="1"/>
      <w:tblInd w:w="0" w:type="dxa"/>
      <w:tblBorders>
        <w:top w:val="single" w:color="B7A7CA" w:sz="4" w:space="0"/>
        <w:bottom w:val="single" w:color="B7A7CA" w:sz="4" w:space="0"/>
        <w:insideH w:val="single" w:color="B7A7CA" w:sz="4" w:space="0"/>
      </w:tblBorders>
      <w:tblCellMar>
        <w:left w:w="0" w:type="dxa"/>
        <w:top w:w="0" w:type="dxa"/>
        <w:right w:w="0" w:type="dxa"/>
        <w:bottom w:w="0" w:type="dxa"/>
      </w:tblCellMar>
    </w:tblPr>
  </w:style>
  <w:style w:type="table" w:styleId="1007" w:customStyle="1">
    <w:name w:val="List Table 2 - Accent 5"/>
    <w:uiPriority w:val="99"/>
    <w:rPr>
      <w:lang w:eastAsia="zh-CN"/>
    </w:rPr>
    <w:tblPr>
      <w:tblStyleRowBandSize w:val="1"/>
      <w:tblStyleColBandSize w:val="1"/>
      <w:tblInd w:w="0" w:type="dxa"/>
      <w:tblBorders>
        <w:top w:val="single" w:color="99D0DE" w:sz="4" w:space="0"/>
        <w:bottom w:val="single" w:color="99D0DE" w:sz="4" w:space="0"/>
        <w:insideH w:val="single" w:color="99D0DE" w:sz="4" w:space="0"/>
      </w:tblBorders>
      <w:tblCellMar>
        <w:left w:w="0" w:type="dxa"/>
        <w:top w:w="0" w:type="dxa"/>
        <w:right w:w="0" w:type="dxa"/>
        <w:bottom w:w="0" w:type="dxa"/>
      </w:tblCellMar>
    </w:tblPr>
  </w:style>
  <w:style w:type="table" w:styleId="1008" w:customStyle="1">
    <w:name w:val="List Table 2 - Accent 6"/>
    <w:uiPriority w:val="99"/>
    <w:rPr>
      <w:lang w:eastAsia="zh-CN"/>
    </w:rPr>
    <w:tblPr>
      <w:tblStyleRowBandSize w:val="1"/>
      <w:tblStyleColBandSize w:val="1"/>
      <w:tblInd w:w="0" w:type="dxa"/>
      <w:tblBorders>
        <w:top w:val="single" w:color="FAC396" w:sz="4" w:space="0"/>
        <w:bottom w:val="single" w:color="FAC396" w:sz="4" w:space="0"/>
        <w:insideH w:val="single" w:color="FAC396" w:sz="4" w:space="0"/>
      </w:tblBorders>
      <w:tblCellMar>
        <w:left w:w="0" w:type="dxa"/>
        <w:top w:w="0" w:type="dxa"/>
        <w:right w:w="0" w:type="dxa"/>
        <w:bottom w:w="0" w:type="dxa"/>
      </w:tblCellMar>
    </w:tblPr>
  </w:style>
  <w:style w:type="table" w:styleId="1009">
    <w:name w:val="List Table 3"/>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tblBorders>
      <w:tblCellMar>
        <w:left w:w="0" w:type="dxa"/>
        <w:top w:w="0" w:type="dxa"/>
        <w:right w:w="0" w:type="dxa"/>
        <w:bottom w:w="0" w:type="dxa"/>
      </w:tblCellMar>
    </w:tblPr>
  </w:style>
  <w:style w:type="table" w:styleId="1010" w:customStyle="1">
    <w:name w:val="List Table 3 - Accent 1"/>
    <w:uiPriority w:val="99"/>
    <w:rPr>
      <w:lang w:eastAsia="zh-CN"/>
    </w:rPr>
    <w:tblPr>
      <w:tblStyleRowBandSize w:val="1"/>
      <w:tblStyleColBandSize w:val="1"/>
      <w:tblInd w:w="0" w:type="dxa"/>
      <w:tblBorders>
        <w:top w:val="single" w:color="4F81BD" w:sz="4" w:space="0"/>
        <w:left w:val="single" w:color="4F81BD" w:sz="4" w:space="0"/>
        <w:bottom w:val="single" w:color="4F81BD" w:sz="4" w:space="0"/>
        <w:right w:val="single" w:color="4F81BD" w:sz="4" w:space="0"/>
      </w:tblBorders>
      <w:tblCellMar>
        <w:left w:w="0" w:type="dxa"/>
        <w:top w:w="0" w:type="dxa"/>
        <w:right w:w="0" w:type="dxa"/>
        <w:bottom w:w="0" w:type="dxa"/>
      </w:tblCellMar>
    </w:tblPr>
  </w:style>
  <w:style w:type="table" w:styleId="1011" w:customStyle="1">
    <w:name w:val="List Table 3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tblBorders>
      <w:tblCellMar>
        <w:left w:w="0" w:type="dxa"/>
        <w:top w:w="0" w:type="dxa"/>
        <w:right w:w="0" w:type="dxa"/>
        <w:bottom w:w="0" w:type="dxa"/>
      </w:tblCellMar>
    </w:tblPr>
  </w:style>
  <w:style w:type="table" w:styleId="1012" w:customStyle="1">
    <w:name w:val="List Table 3 - Accent 3"/>
    <w:uiPriority w:val="99"/>
    <w:rPr>
      <w:lang w:eastAsia="zh-CN"/>
    </w:rPr>
    <w:tblPr>
      <w:tblStyleRowBandSize w:val="1"/>
      <w:tblStyleColBandSize w:val="1"/>
      <w:tblInd w:w="0" w:type="dxa"/>
      <w:tblBorders>
        <w:top w:val="single" w:color="C3D69B" w:sz="4" w:space="0"/>
        <w:left w:val="single" w:color="C3D69B" w:sz="4" w:space="0"/>
        <w:bottom w:val="single" w:color="C3D69B" w:sz="4" w:space="0"/>
        <w:right w:val="single" w:color="C3D69B" w:sz="4" w:space="0"/>
      </w:tblBorders>
      <w:tblCellMar>
        <w:left w:w="0" w:type="dxa"/>
        <w:top w:w="0" w:type="dxa"/>
        <w:right w:w="0" w:type="dxa"/>
        <w:bottom w:w="0" w:type="dxa"/>
      </w:tblCellMar>
    </w:tblPr>
  </w:style>
  <w:style w:type="table" w:styleId="1013" w:customStyle="1">
    <w:name w:val="List Table 3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tblBorders>
      <w:tblCellMar>
        <w:left w:w="0" w:type="dxa"/>
        <w:top w:w="0" w:type="dxa"/>
        <w:right w:w="0" w:type="dxa"/>
        <w:bottom w:w="0" w:type="dxa"/>
      </w:tblCellMar>
    </w:tblPr>
  </w:style>
  <w:style w:type="table" w:styleId="1014" w:customStyle="1">
    <w:name w:val="List Table 3 - Accent 5"/>
    <w:uiPriority w:val="99"/>
    <w:rPr>
      <w:lang w:eastAsia="zh-CN"/>
    </w:rPr>
    <w:tblPr>
      <w:tblStyleRowBandSize w:val="1"/>
      <w:tblStyleColBandSize w:val="1"/>
      <w:tblInd w:w="0" w:type="dxa"/>
      <w:tblBorders>
        <w:top w:val="single" w:color="92CCDC" w:sz="4" w:space="0"/>
        <w:left w:val="single" w:color="92CCDC" w:sz="4" w:space="0"/>
        <w:bottom w:val="single" w:color="92CCDC" w:sz="4" w:space="0"/>
        <w:right w:val="single" w:color="92CCDC" w:sz="4" w:space="0"/>
      </w:tblBorders>
      <w:tblCellMar>
        <w:left w:w="0" w:type="dxa"/>
        <w:top w:w="0" w:type="dxa"/>
        <w:right w:w="0" w:type="dxa"/>
        <w:bottom w:w="0" w:type="dxa"/>
      </w:tblCellMar>
    </w:tblPr>
  </w:style>
  <w:style w:type="table" w:styleId="1015" w:customStyle="1">
    <w:name w:val="List Table 3 - Accent 6"/>
    <w:uiPriority w:val="99"/>
    <w:rPr>
      <w:lang w:eastAsia="zh-CN"/>
    </w:rPr>
    <w:tblPr>
      <w:tblStyleRowBandSize w:val="1"/>
      <w:tblStyleColBandSize w:val="1"/>
      <w:tblInd w:w="0" w:type="dxa"/>
      <w:tblBorders>
        <w:top w:val="single" w:color="FAC090" w:sz="4" w:space="0"/>
        <w:left w:val="single" w:color="FAC090" w:sz="4" w:space="0"/>
        <w:bottom w:val="single" w:color="FAC090" w:sz="4" w:space="0"/>
        <w:right w:val="single" w:color="FAC090" w:sz="4" w:space="0"/>
      </w:tblBorders>
      <w:tblCellMar>
        <w:left w:w="0" w:type="dxa"/>
        <w:top w:w="0" w:type="dxa"/>
        <w:right w:w="0" w:type="dxa"/>
        <w:bottom w:w="0" w:type="dxa"/>
      </w:tblCellMar>
    </w:tblPr>
  </w:style>
  <w:style w:type="table" w:styleId="1016">
    <w:name w:val="List Table 4"/>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insideH w:val="single" w:color="000000" w:sz="4" w:space="0"/>
      </w:tblBorders>
      <w:tblCellMar>
        <w:left w:w="0" w:type="dxa"/>
        <w:top w:w="0" w:type="dxa"/>
        <w:right w:w="0" w:type="dxa"/>
        <w:bottom w:w="0" w:type="dxa"/>
      </w:tblCellMar>
    </w:tblPr>
  </w:style>
  <w:style w:type="table" w:styleId="1017" w:customStyle="1">
    <w:name w:val="List Table 4 - Accent 1"/>
    <w:uiPriority w:val="9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tblBorders>
      <w:tblCellMar>
        <w:left w:w="0" w:type="dxa"/>
        <w:top w:w="0" w:type="dxa"/>
        <w:right w:w="0" w:type="dxa"/>
        <w:bottom w:w="0" w:type="dxa"/>
      </w:tblCellMar>
    </w:tblPr>
  </w:style>
  <w:style w:type="table" w:styleId="1018" w:customStyle="1">
    <w:name w:val="List Table 4 - Accent 2"/>
    <w:uiPriority w:val="9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tblBorders>
      <w:tblCellMar>
        <w:left w:w="0" w:type="dxa"/>
        <w:top w:w="0" w:type="dxa"/>
        <w:right w:w="0" w:type="dxa"/>
        <w:bottom w:w="0" w:type="dxa"/>
      </w:tblCellMar>
    </w:tblPr>
  </w:style>
  <w:style w:type="table" w:styleId="1019" w:customStyle="1">
    <w:name w:val="List Table 4 - Accent 3"/>
    <w:uiPriority w:val="9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tblBorders>
      <w:tblCellMar>
        <w:left w:w="0" w:type="dxa"/>
        <w:top w:w="0" w:type="dxa"/>
        <w:right w:w="0" w:type="dxa"/>
        <w:bottom w:w="0" w:type="dxa"/>
      </w:tblCellMar>
    </w:tblPr>
  </w:style>
  <w:style w:type="table" w:styleId="1020" w:customStyle="1">
    <w:name w:val="List Table 4 - Accent 4"/>
    <w:uiPriority w:val="9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tblBorders>
      <w:tblCellMar>
        <w:left w:w="0" w:type="dxa"/>
        <w:top w:w="0" w:type="dxa"/>
        <w:right w:w="0" w:type="dxa"/>
        <w:bottom w:w="0" w:type="dxa"/>
      </w:tblCellMar>
    </w:tblPr>
  </w:style>
  <w:style w:type="table" w:styleId="1021" w:customStyle="1">
    <w:name w:val="List Table 4 - Accent 5"/>
    <w:uiPriority w:val="9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tblBorders>
      <w:tblCellMar>
        <w:left w:w="0" w:type="dxa"/>
        <w:top w:w="0" w:type="dxa"/>
        <w:right w:w="0" w:type="dxa"/>
        <w:bottom w:w="0" w:type="dxa"/>
      </w:tblCellMar>
    </w:tblPr>
  </w:style>
  <w:style w:type="table" w:styleId="1022" w:customStyle="1">
    <w:name w:val="List Table 4 - Accent 6"/>
    <w:uiPriority w:val="9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tblBorders>
      <w:tblCellMar>
        <w:left w:w="0" w:type="dxa"/>
        <w:top w:w="0" w:type="dxa"/>
        <w:right w:w="0" w:type="dxa"/>
        <w:bottom w:w="0" w:type="dxa"/>
      </w:tblCellMar>
    </w:tblPr>
  </w:style>
  <w:style w:type="table" w:styleId="1023">
    <w:name w:val="List Table 5 Dark"/>
    <w:uiPriority w:val="99"/>
    <w:rPr>
      <w:lang w:eastAsia="zh-CN"/>
    </w:rPr>
    <w:tblPr>
      <w:tblStyleRowBandSize w:val="1"/>
      <w:tblStyleColBandSize w:val="1"/>
      <w:tblInd w:w="0" w:type="dxa"/>
      <w:tblBorders>
        <w:top w:val="single" w:color="7F7F7F" w:sz="32" w:space="0"/>
        <w:left w:val="single" w:color="7F7F7F" w:sz="32" w:space="0"/>
        <w:bottom w:val="single" w:color="7F7F7F" w:sz="32" w:space="0"/>
        <w:right w:val="single" w:color="7F7F7F" w:sz="32" w:space="0"/>
      </w:tblBorders>
      <w:shd w:val="clear" w:color="7f7f7f" w:fill="7f7f7f"/>
      <w:tblCellMar>
        <w:left w:w="0" w:type="dxa"/>
        <w:top w:w="0" w:type="dxa"/>
        <w:right w:w="0" w:type="dxa"/>
        <w:bottom w:w="0" w:type="dxa"/>
      </w:tblCellMar>
    </w:tblPr>
  </w:style>
  <w:style w:type="table" w:styleId="1024" w:customStyle="1">
    <w:name w:val="List Table 5 Dark - Accent 1"/>
    <w:uiPriority w:val="99"/>
    <w:rPr>
      <w:lang w:eastAsia="zh-CN"/>
    </w:rPr>
    <w:tblPr>
      <w:tblStyleRowBandSize w:val="1"/>
      <w:tblStyleColBandSize w:val="1"/>
      <w:tblInd w:w="0" w:type="dxa"/>
      <w:tblBorders>
        <w:top w:val="single" w:color="4F81BD" w:sz="32" w:space="0"/>
        <w:left w:val="single" w:color="4F81BD" w:sz="32" w:space="0"/>
        <w:bottom w:val="single" w:color="4F81BD" w:sz="32" w:space="0"/>
        <w:right w:val="single" w:color="4F81BD" w:sz="32" w:space="0"/>
      </w:tblBorders>
      <w:shd w:val="clear" w:color="4f81bd" w:fill="4f81bd"/>
      <w:tblCellMar>
        <w:left w:w="0" w:type="dxa"/>
        <w:top w:w="0" w:type="dxa"/>
        <w:right w:w="0" w:type="dxa"/>
        <w:bottom w:w="0" w:type="dxa"/>
      </w:tblCellMar>
    </w:tblPr>
  </w:style>
  <w:style w:type="table" w:styleId="1025" w:customStyle="1">
    <w:name w:val="List Table 5 Dark - Accent 2"/>
    <w:uiPriority w:val="99"/>
    <w:rPr>
      <w:lang w:eastAsia="zh-CN"/>
    </w:rPr>
    <w:tblPr>
      <w:tblStyleRowBandSize w:val="1"/>
      <w:tblStyleColBandSize w:val="1"/>
      <w:tblInd w:w="0" w:type="dxa"/>
      <w:tblBorders>
        <w:top w:val="single" w:color="D99695" w:sz="32" w:space="0"/>
        <w:left w:val="single" w:color="D99695" w:sz="32" w:space="0"/>
        <w:bottom w:val="single" w:color="D99695" w:sz="32" w:space="0"/>
        <w:right w:val="single" w:color="D99695" w:sz="32" w:space="0"/>
      </w:tblBorders>
      <w:shd w:val="clear" w:color="d99695" w:fill="d99695"/>
      <w:tblCellMar>
        <w:left w:w="0" w:type="dxa"/>
        <w:top w:w="0" w:type="dxa"/>
        <w:right w:w="0" w:type="dxa"/>
        <w:bottom w:w="0" w:type="dxa"/>
      </w:tblCellMar>
    </w:tblPr>
  </w:style>
  <w:style w:type="table" w:styleId="1026" w:customStyle="1">
    <w:name w:val="List Table 5 Dark - Accent 3"/>
    <w:uiPriority w:val="99"/>
    <w:rPr>
      <w:lang w:eastAsia="zh-CN"/>
    </w:rPr>
    <w:tblPr>
      <w:tblStyleRowBandSize w:val="1"/>
      <w:tblStyleColBandSize w:val="1"/>
      <w:tblInd w:w="0" w:type="dxa"/>
      <w:tblBorders>
        <w:top w:val="single" w:color="C3D69B" w:sz="32" w:space="0"/>
        <w:left w:val="single" w:color="C3D69B" w:sz="32" w:space="0"/>
        <w:bottom w:val="single" w:color="C3D69B" w:sz="32" w:space="0"/>
        <w:right w:val="single" w:color="C3D69B" w:sz="32" w:space="0"/>
      </w:tblBorders>
      <w:shd w:val="clear" w:color="c3d69b" w:fill="c3d69b"/>
      <w:tblCellMar>
        <w:left w:w="0" w:type="dxa"/>
        <w:top w:w="0" w:type="dxa"/>
        <w:right w:w="0" w:type="dxa"/>
        <w:bottom w:w="0" w:type="dxa"/>
      </w:tblCellMar>
    </w:tblPr>
  </w:style>
  <w:style w:type="table" w:styleId="1027" w:customStyle="1">
    <w:name w:val="List Table 5 Dark - Accent 4"/>
    <w:uiPriority w:val="99"/>
    <w:rPr>
      <w:lang w:eastAsia="zh-CN"/>
    </w:rPr>
    <w:tblPr>
      <w:tblStyleRowBandSize w:val="1"/>
      <w:tblStyleColBandSize w:val="1"/>
      <w:tblInd w:w="0" w:type="dxa"/>
      <w:tblBorders>
        <w:top w:val="single" w:color="B2A1C6" w:sz="32" w:space="0"/>
        <w:left w:val="single" w:color="B2A1C6" w:sz="32" w:space="0"/>
        <w:bottom w:val="single" w:color="B2A1C6" w:sz="32" w:space="0"/>
        <w:right w:val="single" w:color="B2A1C6" w:sz="32" w:space="0"/>
      </w:tblBorders>
      <w:shd w:val="clear" w:color="b2a1c6" w:fill="b2a1c6"/>
      <w:tblCellMar>
        <w:left w:w="0" w:type="dxa"/>
        <w:top w:w="0" w:type="dxa"/>
        <w:right w:w="0" w:type="dxa"/>
        <w:bottom w:w="0" w:type="dxa"/>
      </w:tblCellMar>
    </w:tblPr>
  </w:style>
  <w:style w:type="table" w:styleId="1028" w:customStyle="1">
    <w:name w:val="List Table 5 Dark - Accent 5"/>
    <w:uiPriority w:val="99"/>
    <w:rPr>
      <w:lang w:eastAsia="zh-CN"/>
    </w:rPr>
    <w:tblPr>
      <w:tblStyleRowBandSize w:val="1"/>
      <w:tblStyleColBandSize w:val="1"/>
      <w:tblInd w:w="0" w:type="dxa"/>
      <w:tblBorders>
        <w:top w:val="single" w:color="92CCDC" w:sz="32" w:space="0"/>
        <w:left w:val="single" w:color="92CCDC" w:sz="32" w:space="0"/>
        <w:bottom w:val="single" w:color="92CCDC" w:sz="32" w:space="0"/>
        <w:right w:val="single" w:color="92CCDC" w:sz="32" w:space="0"/>
      </w:tblBorders>
      <w:shd w:val="clear" w:color="92ccdc" w:fill="92ccdc"/>
      <w:tblCellMar>
        <w:left w:w="0" w:type="dxa"/>
        <w:top w:w="0" w:type="dxa"/>
        <w:right w:w="0" w:type="dxa"/>
        <w:bottom w:w="0" w:type="dxa"/>
      </w:tblCellMar>
    </w:tblPr>
  </w:style>
  <w:style w:type="table" w:styleId="1029" w:customStyle="1">
    <w:name w:val="List Table 5 Dark - Accent 6"/>
    <w:uiPriority w:val="99"/>
    <w:rPr>
      <w:lang w:eastAsia="zh-CN"/>
    </w:rPr>
    <w:tblPr>
      <w:tblStyleRowBandSize w:val="1"/>
      <w:tblStyleColBandSize w:val="1"/>
      <w:tblInd w:w="0" w:type="dxa"/>
      <w:tblBorders>
        <w:top w:val="single" w:color="FAC090" w:sz="32" w:space="0"/>
        <w:left w:val="single" w:color="FAC090" w:sz="32" w:space="0"/>
        <w:bottom w:val="single" w:color="FAC090" w:sz="32" w:space="0"/>
        <w:right w:val="single" w:color="FAC090" w:sz="32" w:space="0"/>
      </w:tblBorders>
      <w:shd w:val="clear" w:color="fac090" w:fill="fac090"/>
      <w:tblCellMar>
        <w:left w:w="0" w:type="dxa"/>
        <w:top w:w="0" w:type="dxa"/>
        <w:right w:w="0" w:type="dxa"/>
        <w:bottom w:w="0" w:type="dxa"/>
      </w:tblCellMar>
    </w:tblPr>
  </w:style>
  <w:style w:type="table" w:styleId="1030">
    <w:name w:val="List Table 6 Colorful"/>
    <w:uiPriority w:val="99"/>
    <w:rPr>
      <w:lang w:eastAsia="zh-CN"/>
    </w:rPr>
    <w:tblPr>
      <w:tblStyleRowBandSize w:val="1"/>
      <w:tblStyleColBandSize w:val="1"/>
      <w:tblInd w:w="0" w:type="dxa"/>
      <w:tblBorders>
        <w:top w:val="single" w:color="7F7F7F" w:sz="4" w:space="0"/>
        <w:bottom w:val="single" w:color="7F7F7F" w:sz="4" w:space="0"/>
      </w:tblBorders>
      <w:tblCellMar>
        <w:left w:w="0" w:type="dxa"/>
        <w:top w:w="0" w:type="dxa"/>
        <w:right w:w="0" w:type="dxa"/>
        <w:bottom w:w="0" w:type="dxa"/>
      </w:tblCellMar>
    </w:tblPr>
  </w:style>
  <w:style w:type="table" w:styleId="1031" w:customStyle="1">
    <w:name w:val="List Table 6 Colorful - Accent 1"/>
    <w:uiPriority w:val="99"/>
    <w:rPr>
      <w:lang w:eastAsia="zh-CN"/>
    </w:rPr>
    <w:tblPr>
      <w:tblStyleRowBandSize w:val="1"/>
      <w:tblStyleColBandSize w:val="1"/>
      <w:tblInd w:w="0" w:type="dxa"/>
      <w:tblBorders>
        <w:top w:val="single" w:color="4F81BD" w:sz="4" w:space="0"/>
        <w:bottom w:val="single" w:color="4F81BD" w:sz="4" w:space="0"/>
      </w:tblBorders>
      <w:tblCellMar>
        <w:left w:w="0" w:type="dxa"/>
        <w:top w:w="0" w:type="dxa"/>
        <w:right w:w="0" w:type="dxa"/>
        <w:bottom w:w="0" w:type="dxa"/>
      </w:tblCellMar>
    </w:tblPr>
  </w:style>
  <w:style w:type="table" w:styleId="1032" w:customStyle="1">
    <w:name w:val="List Table 6 Colorful - Accent 2"/>
    <w:uiPriority w:val="99"/>
    <w:rPr>
      <w:lang w:eastAsia="zh-CN"/>
    </w:rPr>
    <w:tblPr>
      <w:tblStyleRowBandSize w:val="1"/>
      <w:tblStyleColBandSize w:val="1"/>
      <w:tblInd w:w="0" w:type="dxa"/>
      <w:tblBorders>
        <w:top w:val="single" w:color="D99695" w:sz="4" w:space="0"/>
        <w:bottom w:val="single" w:color="D99695" w:sz="4" w:space="0"/>
      </w:tblBorders>
      <w:tblCellMar>
        <w:left w:w="0" w:type="dxa"/>
        <w:top w:w="0" w:type="dxa"/>
        <w:right w:w="0" w:type="dxa"/>
        <w:bottom w:w="0" w:type="dxa"/>
      </w:tblCellMar>
    </w:tblPr>
  </w:style>
  <w:style w:type="table" w:styleId="1033" w:customStyle="1">
    <w:name w:val="List Table 6 Colorful - Accent 3"/>
    <w:uiPriority w:val="99"/>
    <w:rPr>
      <w:lang w:eastAsia="zh-CN"/>
    </w:rPr>
    <w:tblPr>
      <w:tblStyleRowBandSize w:val="1"/>
      <w:tblStyleColBandSize w:val="1"/>
      <w:tblInd w:w="0" w:type="dxa"/>
      <w:tblBorders>
        <w:top w:val="single" w:color="C3D69B" w:sz="4" w:space="0"/>
        <w:bottom w:val="single" w:color="C3D69B" w:sz="4" w:space="0"/>
      </w:tblBorders>
      <w:tblCellMar>
        <w:left w:w="0" w:type="dxa"/>
        <w:top w:w="0" w:type="dxa"/>
        <w:right w:w="0" w:type="dxa"/>
        <w:bottom w:w="0" w:type="dxa"/>
      </w:tblCellMar>
    </w:tblPr>
  </w:style>
  <w:style w:type="table" w:styleId="1034" w:customStyle="1">
    <w:name w:val="List Table 6 Colorful - Accent 4"/>
    <w:uiPriority w:val="99"/>
    <w:rPr>
      <w:lang w:eastAsia="zh-CN"/>
    </w:rPr>
    <w:tblPr>
      <w:tblStyleRowBandSize w:val="1"/>
      <w:tblStyleColBandSize w:val="1"/>
      <w:tblInd w:w="0" w:type="dxa"/>
      <w:tblBorders>
        <w:top w:val="single" w:color="B2A1C6" w:sz="4" w:space="0"/>
        <w:bottom w:val="single" w:color="B2A1C6" w:sz="4" w:space="0"/>
      </w:tblBorders>
      <w:tblCellMar>
        <w:left w:w="0" w:type="dxa"/>
        <w:top w:w="0" w:type="dxa"/>
        <w:right w:w="0" w:type="dxa"/>
        <w:bottom w:w="0" w:type="dxa"/>
      </w:tblCellMar>
    </w:tblPr>
  </w:style>
  <w:style w:type="table" w:styleId="1035" w:customStyle="1">
    <w:name w:val="List Table 6 Colorful - Accent 5"/>
    <w:uiPriority w:val="99"/>
    <w:rPr>
      <w:lang w:eastAsia="zh-CN"/>
    </w:rPr>
    <w:tblPr>
      <w:tblStyleRowBandSize w:val="1"/>
      <w:tblStyleColBandSize w:val="1"/>
      <w:tblInd w:w="0" w:type="dxa"/>
      <w:tblBorders>
        <w:top w:val="single" w:color="92CCDC" w:sz="4" w:space="0"/>
        <w:bottom w:val="single" w:color="92CCDC" w:sz="4" w:space="0"/>
      </w:tblBorders>
      <w:tblCellMar>
        <w:left w:w="0" w:type="dxa"/>
        <w:top w:w="0" w:type="dxa"/>
        <w:right w:w="0" w:type="dxa"/>
        <w:bottom w:w="0" w:type="dxa"/>
      </w:tblCellMar>
    </w:tblPr>
  </w:style>
  <w:style w:type="table" w:styleId="1036" w:customStyle="1">
    <w:name w:val="List Table 6 Colorful - Accent 6"/>
    <w:uiPriority w:val="99"/>
    <w:rPr>
      <w:lang w:eastAsia="zh-CN"/>
    </w:rPr>
    <w:tblPr>
      <w:tblStyleRowBandSize w:val="1"/>
      <w:tblStyleColBandSize w:val="1"/>
      <w:tblInd w:w="0" w:type="dxa"/>
      <w:tblBorders>
        <w:top w:val="single" w:color="FAC090" w:sz="4" w:space="0"/>
        <w:bottom w:val="single" w:color="FAC090" w:sz="4" w:space="0"/>
      </w:tblBorders>
      <w:tblCellMar>
        <w:left w:w="0" w:type="dxa"/>
        <w:top w:w="0" w:type="dxa"/>
        <w:right w:w="0" w:type="dxa"/>
        <w:bottom w:w="0" w:type="dxa"/>
      </w:tblCellMar>
    </w:tblPr>
  </w:style>
  <w:style w:type="table" w:styleId="1037">
    <w:name w:val="List Table 7 Colorful"/>
    <w:uiPriority w:val="99"/>
    <w:rPr>
      <w:lang w:eastAsia="zh-CN"/>
    </w:rPr>
    <w:tblPr>
      <w:tblStyleRowBandSize w:val="1"/>
      <w:tblStyleColBandSize w:val="1"/>
      <w:tblInd w:w="0" w:type="dxa"/>
      <w:tblBorders>
        <w:right w:val="single" w:color="7F7F7F" w:sz="4" w:space="0"/>
      </w:tblBorders>
      <w:tblCellMar>
        <w:left w:w="0" w:type="dxa"/>
        <w:top w:w="0" w:type="dxa"/>
        <w:right w:w="0" w:type="dxa"/>
        <w:bottom w:w="0" w:type="dxa"/>
      </w:tblCellMar>
    </w:tblPr>
  </w:style>
  <w:style w:type="table" w:styleId="1038" w:customStyle="1">
    <w:name w:val="List Table 7 Colorful - Accent 1"/>
    <w:uiPriority w:val="99"/>
    <w:rPr>
      <w:lang w:eastAsia="zh-CN"/>
    </w:rPr>
    <w:tblPr>
      <w:tblStyleRowBandSize w:val="1"/>
      <w:tblStyleColBandSize w:val="1"/>
      <w:tblInd w:w="0" w:type="dxa"/>
      <w:tblBorders>
        <w:right w:val="single" w:color="4F81BD" w:sz="4" w:space="0"/>
      </w:tblBorders>
      <w:tblCellMar>
        <w:left w:w="0" w:type="dxa"/>
        <w:top w:w="0" w:type="dxa"/>
        <w:right w:w="0" w:type="dxa"/>
        <w:bottom w:w="0" w:type="dxa"/>
      </w:tblCellMar>
    </w:tblPr>
  </w:style>
  <w:style w:type="table" w:styleId="1039" w:customStyle="1">
    <w:name w:val="List Table 7 Colorful - Accent 2"/>
    <w:uiPriority w:val="99"/>
    <w:rPr>
      <w:lang w:eastAsia="zh-CN"/>
    </w:rPr>
    <w:tblPr>
      <w:tblStyleRowBandSize w:val="1"/>
      <w:tblStyleColBandSize w:val="1"/>
      <w:tblInd w:w="0" w:type="dxa"/>
      <w:tblBorders>
        <w:right w:val="single" w:color="D99695" w:sz="4" w:space="0"/>
      </w:tblBorders>
      <w:tblCellMar>
        <w:left w:w="0" w:type="dxa"/>
        <w:top w:w="0" w:type="dxa"/>
        <w:right w:w="0" w:type="dxa"/>
        <w:bottom w:w="0" w:type="dxa"/>
      </w:tblCellMar>
    </w:tblPr>
  </w:style>
  <w:style w:type="table" w:styleId="1040" w:customStyle="1">
    <w:name w:val="List Table 7 Colorful - Accent 3"/>
    <w:uiPriority w:val="99"/>
    <w:rPr>
      <w:lang w:eastAsia="zh-CN"/>
    </w:rPr>
    <w:tblPr>
      <w:tblStyleRowBandSize w:val="1"/>
      <w:tblStyleColBandSize w:val="1"/>
      <w:tblInd w:w="0" w:type="dxa"/>
      <w:tblBorders>
        <w:right w:val="single" w:color="C3D69B" w:sz="4" w:space="0"/>
      </w:tblBorders>
      <w:tblCellMar>
        <w:left w:w="0" w:type="dxa"/>
        <w:top w:w="0" w:type="dxa"/>
        <w:right w:w="0" w:type="dxa"/>
        <w:bottom w:w="0" w:type="dxa"/>
      </w:tblCellMar>
    </w:tblPr>
  </w:style>
  <w:style w:type="table" w:styleId="1041" w:customStyle="1">
    <w:name w:val="List Table 7 Colorful - Accent 4"/>
    <w:uiPriority w:val="99"/>
    <w:rPr>
      <w:lang w:eastAsia="zh-CN"/>
    </w:rPr>
    <w:tblPr>
      <w:tblStyleRowBandSize w:val="1"/>
      <w:tblStyleColBandSize w:val="1"/>
      <w:tblInd w:w="0" w:type="dxa"/>
      <w:tblBorders>
        <w:right w:val="single" w:color="B2A1C6" w:sz="4" w:space="0"/>
      </w:tblBorders>
      <w:tblCellMar>
        <w:left w:w="0" w:type="dxa"/>
        <w:top w:w="0" w:type="dxa"/>
        <w:right w:w="0" w:type="dxa"/>
        <w:bottom w:w="0" w:type="dxa"/>
      </w:tblCellMar>
    </w:tblPr>
  </w:style>
  <w:style w:type="table" w:styleId="1042" w:customStyle="1">
    <w:name w:val="List Table 7 Colorful - Accent 5"/>
    <w:uiPriority w:val="99"/>
    <w:rPr>
      <w:lang w:eastAsia="zh-CN"/>
    </w:rPr>
    <w:tblPr>
      <w:tblStyleRowBandSize w:val="1"/>
      <w:tblStyleColBandSize w:val="1"/>
      <w:tblInd w:w="0" w:type="dxa"/>
      <w:tblBorders>
        <w:right w:val="single" w:color="92CCDC" w:sz="4" w:space="0"/>
      </w:tblBorders>
      <w:tblCellMar>
        <w:left w:w="0" w:type="dxa"/>
        <w:top w:w="0" w:type="dxa"/>
        <w:right w:w="0" w:type="dxa"/>
        <w:bottom w:w="0" w:type="dxa"/>
      </w:tblCellMar>
    </w:tblPr>
  </w:style>
  <w:style w:type="table" w:styleId="1043" w:customStyle="1">
    <w:name w:val="List Table 7 Colorful - Accent 6"/>
    <w:uiPriority w:val="99"/>
    <w:rPr>
      <w:lang w:eastAsia="zh-CN"/>
    </w:rPr>
    <w:tblPr>
      <w:tblStyleRowBandSize w:val="1"/>
      <w:tblStyleColBandSize w:val="1"/>
      <w:tblInd w:w="0" w:type="dxa"/>
      <w:tblBorders>
        <w:right w:val="single" w:color="FAC090" w:sz="4" w:space="0"/>
      </w:tblBorders>
      <w:tblCellMar>
        <w:left w:w="0" w:type="dxa"/>
        <w:top w:w="0" w:type="dxa"/>
        <w:right w:w="0" w:type="dxa"/>
        <w:bottom w:w="0" w:type="dxa"/>
      </w:tblCellMar>
    </w:tblPr>
  </w:style>
  <w:style w:type="table" w:styleId="1044" w:customStyle="1">
    <w:name w:val="Lined - Accent"/>
    <w:uiPriority w:val="99"/>
    <w:rPr>
      <w:color w:val="404040"/>
    </w:rPr>
    <w:tblPr>
      <w:tblStyleRowBandSize w:val="1"/>
      <w:tblStyleColBandSize w:val="1"/>
      <w:tblInd w:w="0" w:type="dxa"/>
      <w:tblCellMar>
        <w:left w:w="0" w:type="dxa"/>
        <w:top w:w="0" w:type="dxa"/>
        <w:right w:w="0" w:type="dxa"/>
        <w:bottom w:w="0" w:type="dxa"/>
      </w:tblCellMar>
    </w:tblPr>
  </w:style>
  <w:style w:type="table" w:styleId="1045" w:customStyle="1">
    <w:name w:val="Lined - Accent 1"/>
    <w:uiPriority w:val="99"/>
    <w:rPr>
      <w:color w:val="404040"/>
    </w:rPr>
    <w:tblPr>
      <w:tblStyleRowBandSize w:val="1"/>
      <w:tblStyleColBandSize w:val="1"/>
      <w:tblInd w:w="0" w:type="dxa"/>
      <w:tblCellMar>
        <w:left w:w="0" w:type="dxa"/>
        <w:top w:w="0" w:type="dxa"/>
        <w:right w:w="0" w:type="dxa"/>
        <w:bottom w:w="0" w:type="dxa"/>
      </w:tblCellMar>
    </w:tblPr>
  </w:style>
  <w:style w:type="table" w:styleId="1046" w:customStyle="1">
    <w:name w:val="Lined - Accent 2"/>
    <w:uiPriority w:val="99"/>
    <w:rPr>
      <w:color w:val="404040"/>
    </w:rPr>
    <w:tblPr>
      <w:tblStyleRowBandSize w:val="1"/>
      <w:tblStyleColBandSize w:val="1"/>
      <w:tblInd w:w="0" w:type="dxa"/>
      <w:tblCellMar>
        <w:left w:w="0" w:type="dxa"/>
        <w:top w:w="0" w:type="dxa"/>
        <w:right w:w="0" w:type="dxa"/>
        <w:bottom w:w="0" w:type="dxa"/>
      </w:tblCellMar>
    </w:tblPr>
  </w:style>
  <w:style w:type="table" w:styleId="1047" w:customStyle="1">
    <w:name w:val="Lined - Accent 3"/>
    <w:uiPriority w:val="99"/>
    <w:rPr>
      <w:color w:val="404040"/>
    </w:rPr>
    <w:tblPr>
      <w:tblStyleRowBandSize w:val="1"/>
      <w:tblStyleColBandSize w:val="1"/>
      <w:tblInd w:w="0" w:type="dxa"/>
      <w:tblCellMar>
        <w:left w:w="0" w:type="dxa"/>
        <w:top w:w="0" w:type="dxa"/>
        <w:right w:w="0" w:type="dxa"/>
        <w:bottom w:w="0" w:type="dxa"/>
      </w:tblCellMar>
    </w:tblPr>
  </w:style>
  <w:style w:type="table" w:styleId="1048" w:customStyle="1">
    <w:name w:val="Lined - Accent 4"/>
    <w:uiPriority w:val="99"/>
    <w:rPr>
      <w:color w:val="404040"/>
    </w:rPr>
    <w:tblPr>
      <w:tblStyleRowBandSize w:val="1"/>
      <w:tblStyleColBandSize w:val="1"/>
      <w:tblInd w:w="0" w:type="dxa"/>
      <w:tblCellMar>
        <w:left w:w="0" w:type="dxa"/>
        <w:top w:w="0" w:type="dxa"/>
        <w:right w:w="0" w:type="dxa"/>
        <w:bottom w:w="0" w:type="dxa"/>
      </w:tblCellMar>
    </w:tblPr>
  </w:style>
  <w:style w:type="table" w:styleId="1049" w:customStyle="1">
    <w:name w:val="Lined - Accent 5"/>
    <w:uiPriority w:val="99"/>
    <w:rPr>
      <w:color w:val="404040"/>
    </w:rPr>
    <w:tblPr>
      <w:tblStyleRowBandSize w:val="1"/>
      <w:tblStyleColBandSize w:val="1"/>
      <w:tblInd w:w="0" w:type="dxa"/>
      <w:tblCellMar>
        <w:left w:w="0" w:type="dxa"/>
        <w:top w:w="0" w:type="dxa"/>
        <w:right w:w="0" w:type="dxa"/>
        <w:bottom w:w="0" w:type="dxa"/>
      </w:tblCellMar>
    </w:tblPr>
  </w:style>
  <w:style w:type="table" w:styleId="1050" w:customStyle="1">
    <w:name w:val="Lined - Accent 6"/>
    <w:uiPriority w:val="99"/>
    <w:rPr>
      <w:color w:val="404040"/>
    </w:rPr>
    <w:tblPr>
      <w:tblStyleRowBandSize w:val="1"/>
      <w:tblStyleColBandSize w:val="1"/>
      <w:tblInd w:w="0" w:type="dxa"/>
      <w:tblCellMar>
        <w:left w:w="0" w:type="dxa"/>
        <w:top w:w="0" w:type="dxa"/>
        <w:right w:w="0" w:type="dxa"/>
        <w:bottom w:w="0" w:type="dxa"/>
      </w:tblCellMar>
    </w:tblPr>
  </w:style>
  <w:style w:type="table" w:styleId="1051" w:customStyle="1">
    <w:name w:val="Bordered &amp; Lined - Accent"/>
    <w:uiPriority w:val="99"/>
    <w:rPr>
      <w:color w:val="40404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left w:w="0" w:type="dxa"/>
        <w:top w:w="0" w:type="dxa"/>
        <w:right w:w="0" w:type="dxa"/>
        <w:bottom w:w="0" w:type="dxa"/>
      </w:tblCellMar>
    </w:tblPr>
  </w:style>
  <w:style w:type="table" w:styleId="1052" w:customStyle="1">
    <w:name w:val="Bordered &amp; Lined - Accent 1"/>
    <w:uiPriority w:val="99"/>
    <w:rPr>
      <w:color w:val="404040"/>
    </w:rPr>
    <w:tblPr>
      <w:tblStyleRowBandSize w:val="1"/>
      <w:tblStyleColBandSize w:val="1"/>
      <w:tblInd w:w="0" w:type="dxa"/>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left w:w="0" w:type="dxa"/>
        <w:top w:w="0" w:type="dxa"/>
        <w:right w:w="0" w:type="dxa"/>
        <w:bottom w:w="0" w:type="dxa"/>
      </w:tblCellMar>
    </w:tblPr>
  </w:style>
  <w:style w:type="table" w:styleId="1053" w:customStyle="1">
    <w:name w:val="Bordered &amp; Lined - Accent 2"/>
    <w:uiPriority w:val="99"/>
    <w:rPr>
      <w:color w:val="404040"/>
    </w:rPr>
    <w:tblPr>
      <w:tblStyleRowBandSize w:val="1"/>
      <w:tblStyleColBandSize w:val="1"/>
      <w:tblInd w:w="0" w:type="dxa"/>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left w:w="0" w:type="dxa"/>
        <w:top w:w="0" w:type="dxa"/>
        <w:right w:w="0" w:type="dxa"/>
        <w:bottom w:w="0" w:type="dxa"/>
      </w:tblCellMar>
    </w:tblPr>
  </w:style>
  <w:style w:type="table" w:styleId="1054" w:customStyle="1">
    <w:name w:val="Bordered &amp; Lined - Accent 3"/>
    <w:uiPriority w:val="99"/>
    <w:rPr>
      <w:color w:val="404040"/>
    </w:rPr>
    <w:tblPr>
      <w:tblStyleRowBandSize w:val="1"/>
      <w:tblStyleColBandSize w:val="1"/>
      <w:tblInd w:w="0" w:type="dxa"/>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left w:w="0" w:type="dxa"/>
        <w:top w:w="0" w:type="dxa"/>
        <w:right w:w="0" w:type="dxa"/>
        <w:bottom w:w="0" w:type="dxa"/>
      </w:tblCellMar>
    </w:tblPr>
  </w:style>
  <w:style w:type="table" w:styleId="1055" w:customStyle="1">
    <w:name w:val="Bordered &amp; Lined - Accent 4"/>
    <w:uiPriority w:val="99"/>
    <w:rPr>
      <w:color w:val="404040"/>
    </w:rPr>
    <w:tblPr>
      <w:tblStyleRowBandSize w:val="1"/>
      <w:tblStyleColBandSize w:val="1"/>
      <w:tblInd w:w="0" w:type="dxa"/>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left w:w="0" w:type="dxa"/>
        <w:top w:w="0" w:type="dxa"/>
        <w:right w:w="0" w:type="dxa"/>
        <w:bottom w:w="0" w:type="dxa"/>
      </w:tblCellMar>
    </w:tblPr>
  </w:style>
  <w:style w:type="table" w:styleId="1056" w:customStyle="1">
    <w:name w:val="Bordered &amp; Lined - Accent 5"/>
    <w:uiPriority w:val="99"/>
    <w:rPr>
      <w:color w:val="404040"/>
    </w:rPr>
    <w:tblPr>
      <w:tblStyleRowBandSize w:val="1"/>
      <w:tblStyleColBandSize w:val="1"/>
      <w:tblInd w:w="0" w:type="dxa"/>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left w:w="0" w:type="dxa"/>
        <w:top w:w="0" w:type="dxa"/>
        <w:right w:w="0" w:type="dxa"/>
        <w:bottom w:w="0" w:type="dxa"/>
      </w:tblCellMar>
    </w:tblPr>
  </w:style>
  <w:style w:type="table" w:styleId="1057" w:customStyle="1">
    <w:name w:val="Bordered &amp; Lined - Accent 6"/>
    <w:uiPriority w:val="99"/>
    <w:rPr>
      <w:color w:val="404040"/>
    </w:rPr>
    <w:tblPr>
      <w:tblStyleRowBandSize w:val="1"/>
      <w:tblStyleColBandSize w:val="1"/>
      <w:tblInd w:w="0" w:type="dxa"/>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left w:w="0" w:type="dxa"/>
        <w:top w:w="0" w:type="dxa"/>
        <w:right w:w="0" w:type="dxa"/>
        <w:bottom w:w="0" w:type="dxa"/>
      </w:tblCellMar>
    </w:tblPr>
  </w:style>
  <w:style w:type="table" w:styleId="1058" w:customStyle="1">
    <w:name w:val="Bordered"/>
    <w:uiPriority w:val="99"/>
    <w:rPr>
      <w:lang w:eastAsia="zh-CN"/>
    </w:rPr>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left w:w="0" w:type="dxa"/>
        <w:top w:w="0" w:type="dxa"/>
        <w:right w:w="0" w:type="dxa"/>
        <w:bottom w:w="0" w:type="dxa"/>
      </w:tblCellMar>
    </w:tblPr>
  </w:style>
  <w:style w:type="table" w:styleId="1059" w:customStyle="1">
    <w:name w:val="Bordered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1060" w:customStyle="1">
    <w:name w:val="Bordered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1061" w:customStyle="1">
    <w:name w:val="Bordered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1062" w:customStyle="1">
    <w:name w:val="Bordered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1063" w:customStyle="1">
    <w:name w:val="Bordered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1064" w:customStyle="1">
    <w:name w:val="Bordered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paragraph" w:styleId="1065">
    <w:name w:val="footnote text"/>
    <w:basedOn w:val="888"/>
    <w:link w:val="1066"/>
    <w:uiPriority w:val="99"/>
    <w:semiHidden/>
    <w:unhideWhenUsed/>
    <w:pPr>
      <w:spacing w:after="40"/>
    </w:pPr>
    <w:rPr>
      <w:sz w:val="18"/>
    </w:rPr>
  </w:style>
  <w:style w:type="character" w:styleId="1066" w:customStyle="1">
    <w:name w:val="Texto de nota de rodapé Char"/>
    <w:link w:val="1065"/>
    <w:uiPriority w:val="99"/>
    <w:rPr>
      <w:sz w:val="18"/>
    </w:rPr>
  </w:style>
  <w:style w:type="character" w:styleId="1067">
    <w:name w:val="footnote reference"/>
    <w:uiPriority w:val="99"/>
    <w:unhideWhenUsed/>
    <w:rPr>
      <w:vertAlign w:val="superscript"/>
    </w:rPr>
  </w:style>
  <w:style w:type="paragraph" w:styleId="1068">
    <w:name w:val="endnote text"/>
    <w:basedOn w:val="888"/>
    <w:link w:val="1069"/>
    <w:uiPriority w:val="99"/>
    <w:semiHidden/>
    <w:unhideWhenUsed/>
  </w:style>
  <w:style w:type="character" w:styleId="1069" w:customStyle="1">
    <w:name w:val="Texto de nota de fim Char"/>
    <w:link w:val="1068"/>
    <w:uiPriority w:val="99"/>
    <w:rPr>
      <w:sz w:val="20"/>
    </w:rPr>
  </w:style>
  <w:style w:type="character" w:styleId="1070">
    <w:name w:val="endnote reference"/>
    <w:uiPriority w:val="99"/>
    <w:semiHidden/>
    <w:unhideWhenUsed/>
    <w:rPr>
      <w:vertAlign w:val="superscript"/>
    </w:rPr>
  </w:style>
  <w:style w:type="paragraph" w:styleId="1071">
    <w:name w:val="toc 1"/>
    <w:basedOn w:val="888"/>
    <w:next w:val="888"/>
    <w:uiPriority w:val="39"/>
    <w:unhideWhenUsed/>
    <w:pPr>
      <w:spacing w:after="57"/>
    </w:pPr>
  </w:style>
  <w:style w:type="paragraph" w:styleId="1072">
    <w:name w:val="toc 2"/>
    <w:basedOn w:val="888"/>
    <w:next w:val="888"/>
    <w:uiPriority w:val="39"/>
    <w:unhideWhenUsed/>
    <w:pPr>
      <w:ind w:left="283"/>
      <w:spacing w:after="57"/>
    </w:pPr>
  </w:style>
  <w:style w:type="paragraph" w:styleId="1073">
    <w:name w:val="toc 3"/>
    <w:basedOn w:val="888"/>
    <w:next w:val="888"/>
    <w:uiPriority w:val="39"/>
    <w:unhideWhenUsed/>
    <w:pPr>
      <w:ind w:left="567"/>
      <w:spacing w:after="57"/>
    </w:pPr>
  </w:style>
  <w:style w:type="paragraph" w:styleId="1074">
    <w:name w:val="toc 4"/>
    <w:basedOn w:val="888"/>
    <w:next w:val="888"/>
    <w:uiPriority w:val="39"/>
    <w:unhideWhenUsed/>
    <w:pPr>
      <w:ind w:left="850"/>
      <w:spacing w:after="57"/>
    </w:pPr>
  </w:style>
  <w:style w:type="paragraph" w:styleId="1075">
    <w:name w:val="toc 5"/>
    <w:basedOn w:val="888"/>
    <w:next w:val="888"/>
    <w:uiPriority w:val="39"/>
    <w:unhideWhenUsed/>
    <w:pPr>
      <w:ind w:left="1134"/>
      <w:spacing w:after="57"/>
    </w:pPr>
  </w:style>
  <w:style w:type="paragraph" w:styleId="1076">
    <w:name w:val="toc 6"/>
    <w:basedOn w:val="888"/>
    <w:next w:val="888"/>
    <w:uiPriority w:val="39"/>
    <w:unhideWhenUsed/>
    <w:pPr>
      <w:ind w:left="1417"/>
      <w:spacing w:after="57"/>
    </w:pPr>
  </w:style>
  <w:style w:type="paragraph" w:styleId="1077">
    <w:name w:val="toc 7"/>
    <w:basedOn w:val="888"/>
    <w:next w:val="888"/>
    <w:uiPriority w:val="39"/>
    <w:unhideWhenUsed/>
    <w:pPr>
      <w:ind w:left="1701"/>
      <w:spacing w:after="57"/>
    </w:pPr>
  </w:style>
  <w:style w:type="paragraph" w:styleId="1078">
    <w:name w:val="toc 8"/>
    <w:basedOn w:val="888"/>
    <w:next w:val="888"/>
    <w:uiPriority w:val="39"/>
    <w:unhideWhenUsed/>
    <w:pPr>
      <w:ind w:left="1984"/>
      <w:spacing w:after="57"/>
    </w:pPr>
  </w:style>
  <w:style w:type="paragraph" w:styleId="1079">
    <w:name w:val="toc 9"/>
    <w:basedOn w:val="888"/>
    <w:next w:val="888"/>
    <w:uiPriority w:val="39"/>
    <w:unhideWhenUsed/>
    <w:pPr>
      <w:ind w:left="2268"/>
      <w:spacing w:after="57"/>
    </w:pPr>
  </w:style>
  <w:style w:type="paragraph" w:styleId="1080">
    <w:name w:val="TOC Heading"/>
    <w:uiPriority w:val="39"/>
    <w:unhideWhenUsed/>
    <w:rPr>
      <w:lang w:eastAsia="zh-CN"/>
    </w:rPr>
  </w:style>
  <w:style w:type="paragraph" w:styleId="1081">
    <w:name w:val="table of figures"/>
    <w:basedOn w:val="888"/>
    <w:next w:val="888"/>
    <w:uiPriority w:val="99"/>
    <w:unhideWhenUsed/>
  </w:style>
  <w:style w:type="paragraph" w:styleId="1082" w:customStyle="1">
    <w:name w:val="Título 1;EDITAL 1.1"/>
    <w:basedOn w:val="1096"/>
    <w:next w:val="1096"/>
    <w:link w:val="1108"/>
    <w:pPr>
      <w:ind w:left="2160"/>
      <w:jc w:val="both"/>
      <w:keepNext/>
      <w:outlineLvl w:val="0"/>
    </w:pPr>
    <w:rPr>
      <w:rFonts w:ascii="Times New Roman" w:hAnsi="Times New Roman" w:eastAsia="Times New Roman"/>
      <w:b/>
      <w:sz w:val="24"/>
      <w:szCs w:val="24"/>
      <w:u w:val="single"/>
    </w:rPr>
  </w:style>
  <w:style w:type="paragraph" w:styleId="1083" w:customStyle="1">
    <w:name w:val="Título;EDITAL 1.0"/>
    <w:basedOn w:val="1096"/>
    <w:next w:val="1096"/>
    <w:link w:val="1110"/>
    <w:pPr>
      <w:keepLines/>
      <w:keepNext/>
      <w:spacing w:before="480" w:after="120"/>
    </w:pPr>
    <w:rPr>
      <w:b/>
      <w:sz w:val="72"/>
      <w:szCs w:val="72"/>
    </w:rPr>
  </w:style>
  <w:style w:type="table" w:styleId="1084" w:customStyle="1">
    <w:name w:val="UserStyle_3"/>
    <w:basedOn w:val="899"/>
    <w:tblPr/>
  </w:style>
  <w:style w:type="character" w:styleId="1085" w:customStyle="1">
    <w:name w:val="Cabeçalho Char"/>
    <w:basedOn w:val="898"/>
    <w:link w:val="933"/>
    <w:uiPriority w:val="99"/>
  </w:style>
  <w:style w:type="character" w:styleId="1086" w:customStyle="1">
    <w:name w:val="Rodapé Char"/>
    <w:basedOn w:val="898"/>
    <w:link w:val="935"/>
    <w:uiPriority w:val="99"/>
  </w:style>
  <w:style w:type="paragraph" w:styleId="1087">
    <w:name w:val="Balloon Text"/>
    <w:basedOn w:val="888"/>
    <w:link w:val="1088"/>
    <w:semiHidden/>
    <w:rPr>
      <w:rFonts w:ascii="Lucida Grande" w:hAnsi="Lucida Grande"/>
      <w:sz w:val="18"/>
      <w:szCs w:val="18"/>
    </w:rPr>
  </w:style>
  <w:style w:type="character" w:styleId="1088" w:customStyle="1">
    <w:name w:val="Texto de balão Char"/>
    <w:link w:val="1087"/>
    <w:semiHidden/>
    <w:rPr>
      <w:rFonts w:ascii="Lucida Grande" w:hAnsi="Lucida Grande"/>
      <w:sz w:val="18"/>
      <w:szCs w:val="18"/>
    </w:rPr>
  </w:style>
  <w:style w:type="character" w:styleId="1089">
    <w:name w:val="Emphasis"/>
    <w:rPr>
      <w:caps/>
      <w:spacing w:val="5"/>
      <w:sz w:val="20"/>
      <w:szCs w:val="20"/>
    </w:rPr>
  </w:style>
  <w:style w:type="paragraph" w:styleId="1090" w:customStyle="1">
    <w:name w:val="Titulo Projeto"/>
    <w:basedOn w:val="1082"/>
    <w:link w:val="1092"/>
    <w:pPr>
      <w:numPr>
        <w:numId w:val="5"/>
      </w:numPr>
      <w:contextualSpacing/>
      <w:ind w:right="28"/>
      <w:jc w:val="left"/>
      <w:keepNext w:val="0"/>
      <w:spacing w:before="400"/>
      <w:shd w:val="clear" w:color="auto" w:fill="d9d9d9"/>
      <w:pBdr>
        <w:top w:val="single" w:color="000000" w:sz="4" w:space="1"/>
        <w:left w:val="single" w:color="000000" w:sz="4" w:space="4"/>
        <w:bottom w:val="single" w:color="000000" w:sz="4" w:space="1"/>
        <w:right w:val="single" w:color="000000" w:sz="4" w:space="4"/>
      </w:pBdr>
    </w:pPr>
    <w:rPr>
      <w:rFonts w:ascii="Calibri" w:hAnsi="Calibri"/>
      <w:bCs/>
      <w:caps/>
      <w:color w:val="000000"/>
      <w:spacing w:val="-20"/>
      <w:sz w:val="20"/>
      <w:szCs w:val="20"/>
      <w:u w:val="none"/>
      <w:lang w:eastAsia="pt-BR"/>
    </w:rPr>
  </w:style>
  <w:style w:type="paragraph" w:styleId="1091" w:customStyle="1">
    <w:name w:val="Corpo texto com numeração"/>
    <w:basedOn w:val="924"/>
    <w:link w:val="1093"/>
    <w:pPr>
      <w:numPr>
        <w:ilvl w:val="1"/>
        <w:numId w:val="5"/>
      </w:numPr>
      <w:ind w:left="720" w:firstLine="0"/>
      <w:spacing w:after="200" w:line="276" w:lineRule="auto"/>
    </w:pPr>
    <w:rPr>
      <w:rFonts w:ascii="Cambria" w:hAnsi="Cambria" w:eastAsia="MS Mincho"/>
      <w:lang w:eastAsia="pt-BR"/>
    </w:rPr>
  </w:style>
  <w:style w:type="character" w:styleId="1092" w:customStyle="1">
    <w:name w:val="Titulo Projeto Char"/>
    <w:link w:val="1090"/>
    <w:rPr>
      <w:rFonts w:ascii="Calibri" w:hAnsi="Calibri" w:eastAsia="Times New Roman"/>
      <w:b/>
      <w:bCs/>
      <w:caps/>
      <w:color w:val="000000"/>
      <w:spacing w:val="-20"/>
      <w:shd w:val="clear" w:color="auto" w:fill="d9d9d9"/>
    </w:rPr>
  </w:style>
  <w:style w:type="character" w:styleId="1093" w:customStyle="1">
    <w:name w:val="Corpo texto com numeração Char"/>
    <w:link w:val="1091"/>
    <w:rPr>
      <w:rFonts w:ascii="Cambria" w:hAnsi="Cambria" w:eastAsia="MS Mincho"/>
      <w:sz w:val="22"/>
      <w:szCs w:val="22"/>
    </w:rPr>
  </w:style>
  <w:style w:type="paragraph" w:styleId="1094" w:customStyle="1">
    <w:name w:val="TEXTO"/>
    <w:basedOn w:val="888"/>
    <w:pPr>
      <w:ind w:firstLine="2160"/>
      <w:jc w:val="both"/>
    </w:pPr>
    <w:rPr>
      <w:rFonts w:ascii="Courier New" w:hAnsi="Courier New" w:eastAsia="Times New Roman"/>
      <w:lang w:eastAsia="ar-SA"/>
    </w:rPr>
  </w:style>
  <w:style w:type="character" w:styleId="1095">
    <w:name w:val="Hyperlink"/>
    <w:rPr>
      <w:color w:val="0000FF"/>
      <w:u w:val="single"/>
    </w:rPr>
  </w:style>
  <w:style w:type="paragraph" w:styleId="1096" w:customStyle="1">
    <w:name w:val="Normal1"/>
    <w:qFormat/>
    <w:rPr>
      <w:lang w:eastAsia="en-US"/>
    </w:rPr>
  </w:style>
  <w:style w:type="paragraph" w:styleId="1097">
    <w:name w:val="Revision"/>
    <w:hidden/>
    <w:semiHidden/>
    <w:rPr>
      <w:lang w:eastAsia="en-US"/>
    </w:rPr>
  </w:style>
  <w:style w:type="paragraph" w:styleId="1098" w:customStyle="1">
    <w:name w:val="Normal2"/>
    <w:rPr>
      <w:lang w:eastAsia="en-US"/>
    </w:rPr>
  </w:style>
  <w:style w:type="paragraph" w:styleId="1099" w:customStyle="1">
    <w:name w:val="Nivel 01"/>
    <w:basedOn w:val="1082"/>
    <w:next w:val="888"/>
    <w:link w:val="1106"/>
    <w:pPr>
      <w:numPr>
        <w:numId w:val="6"/>
      </w:numPr>
      <w:ind w:left="0"/>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00"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szCs w:val="24"/>
      <w:lang w:bidi="hi-IN" w:eastAsia="zh-CN"/>
    </w:rPr>
  </w:style>
  <w:style w:type="character" w:styleId="1101" w:customStyle="1">
    <w:name w:val="Citação Char"/>
    <w:link w:val="930"/>
    <w:rPr>
      <w:rFonts w:ascii="Arial" w:hAnsi="Arial" w:eastAsia="Calibri"/>
      <w:i/>
      <w:iCs/>
      <w:color w:val="000000"/>
      <w:szCs w:val="24"/>
      <w:shd w:val="clear" w:color="auto" w:fill="ffffcc"/>
    </w:rPr>
  </w:style>
  <w:style w:type="paragraph" w:styleId="1102" w:customStyle="1">
    <w:name w:val="citação 2"/>
    <w:basedOn w:val="930"/>
    <w:link w:val="1103"/>
  </w:style>
  <w:style w:type="character" w:styleId="1103" w:customStyle="1">
    <w:name w:val="citação 2 Char"/>
    <w:link w:val="1102"/>
    <w:rPr>
      <w:rFonts w:ascii="Arial" w:hAnsi="Arial" w:eastAsia="Calibri"/>
      <w:i/>
      <w:iCs/>
      <w:color w:val="000000"/>
      <w:szCs w:val="24"/>
      <w:shd w:val="clear" w:color="auto" w:fill="ffffcc"/>
    </w:rPr>
  </w:style>
  <w:style w:type="character" w:styleId="1104" w:customStyle="1">
    <w:name w:val="Quote Char"/>
    <w:link w:val="1105"/>
    <w:rPr>
      <w:rFonts w:ascii="Ecofont_Spranq_eco_Sans" w:hAnsi="Ecofont_Spranq_eco_Sans" w:eastAsia="Calibri"/>
      <w:i/>
      <w:iCs/>
      <w:color w:val="000000"/>
      <w:shd w:val="clear" w:color="auto" w:fill="ffffcc"/>
    </w:rPr>
  </w:style>
  <w:style w:type="paragraph" w:styleId="1105" w:customStyle="1">
    <w:name w:val="Citação1"/>
    <w:basedOn w:val="888"/>
    <w:next w:val="888"/>
    <w:link w:val="1104"/>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eastAsia="Calibri"/>
      <w:i/>
      <w:iCs/>
      <w:color w:val="000000"/>
    </w:rPr>
  </w:style>
  <w:style w:type="character" w:styleId="1106" w:customStyle="1">
    <w:name w:val="Nivel 01 Char"/>
    <w:link w:val="1099"/>
    <w:rPr>
      <w:rFonts w:ascii="Ecofont_Spranq_eco_Sans" w:hAnsi="Ecofont_Spranq_eco_Sans" w:eastAsia="MS Gothic"/>
      <w:b/>
      <w:bCs/>
      <w:color w:val="000000"/>
    </w:rPr>
  </w:style>
  <w:style w:type="character" w:styleId="1107" w:customStyle="1">
    <w:name w:val="Menção Pendente1"/>
    <w:semiHidden/>
    <w:rPr>
      <w:color w:val="605E5C"/>
      <w:shd w:val="clear" w:color="auto" w:fill="e1dfdd"/>
    </w:rPr>
  </w:style>
  <w:style w:type="character" w:styleId="1108" w:customStyle="1">
    <w:name w:val="Título 1 Char"/>
    <w:link w:val="1082"/>
    <w:rPr>
      <w:rFonts w:ascii="Times New Roman" w:hAnsi="Times New Roman" w:eastAsia="Times New Roman"/>
      <w:b/>
      <w:sz w:val="24"/>
      <w:szCs w:val="24"/>
      <w:u w:val="single"/>
    </w:rPr>
  </w:style>
  <w:style w:type="paragraph" w:styleId="1109" w:customStyle="1">
    <w:name w:val="msonormal"/>
    <w:basedOn w:val="888"/>
    <w:pPr>
      <w:spacing w:before="100" w:beforeAutospacing="1" w:after="100" w:afterAutospacing="1"/>
    </w:pPr>
    <w:rPr>
      <w:rFonts w:ascii="Times New Roman" w:hAnsi="Times New Roman" w:eastAsia="Times New Roman"/>
      <w:sz w:val="24"/>
      <w:szCs w:val="24"/>
      <w:lang w:eastAsia="pt-BR"/>
    </w:rPr>
  </w:style>
  <w:style w:type="character" w:styleId="1110" w:customStyle="1">
    <w:name w:val="Título Char"/>
    <w:link w:val="1083"/>
    <w:rPr>
      <w:b/>
      <w:sz w:val="72"/>
      <w:szCs w:val="72"/>
    </w:rPr>
  </w:style>
  <w:style w:type="paragraph" w:styleId="1111">
    <w:name w:val="Body Text"/>
    <w:basedOn w:val="888"/>
    <w:link w:val="1112"/>
    <w:pPr>
      <w:widowControl w:val="off"/>
    </w:pPr>
    <w:rPr>
      <w:rFonts w:ascii="Arial" w:hAnsi="Arial" w:eastAsia="Arial"/>
      <w:lang w:val="pt-PT"/>
    </w:rPr>
  </w:style>
  <w:style w:type="character" w:styleId="1112" w:customStyle="1">
    <w:name w:val="Corpo de texto Char"/>
    <w:link w:val="1111"/>
    <w:semiHidden/>
    <w:rPr>
      <w:rFonts w:ascii="Arial" w:hAnsi="Arial" w:eastAsia="Arial"/>
      <w:lang w:val="pt-PT"/>
    </w:rPr>
  </w:style>
  <w:style w:type="paragraph" w:styleId="1113" w:customStyle="1">
    <w:name w:val="Table Paragraph"/>
    <w:basedOn w:val="888"/>
    <w:uiPriority w:val="1"/>
    <w:qFormat/>
    <w:pPr>
      <w:widowControl w:val="off"/>
    </w:pPr>
    <w:rPr>
      <w:rFonts w:ascii="Times New Roman" w:hAnsi="Times New Roman" w:eastAsia="Times New Roman"/>
      <w:sz w:val="22"/>
      <w:szCs w:val="22"/>
      <w:lang w:val="pt-PT"/>
    </w:rPr>
  </w:style>
  <w:style w:type="table" w:styleId="1114" w:customStyle="1">
    <w:name w:val="Table Normal"/>
    <w:semiHidden/>
    <w:pPr>
      <w:widowControl w:val="off"/>
    </w:pPr>
    <w:rPr>
      <w:rFonts w:ascii="Cambria" w:hAnsi="Cambria" w:eastAsia="Cambria"/>
      <w:sz w:val="22"/>
      <w:szCs w:val="22"/>
      <w:lang w:val="en-US" w:eastAsia="en-US"/>
    </w:rPr>
    <w:tblPr>
      <w:tblCellMar>
        <w:left w:w="0" w:type="dxa"/>
        <w:top w:w="0" w:type="dxa"/>
        <w:right w:w="0" w:type="dxa"/>
        <w:bottom w:w="0" w:type="dxa"/>
      </w:tblCellMar>
    </w:tblPr>
  </w:style>
  <w:style w:type="paragraph" w:styleId="1115" w:customStyle="1">
    <w:name w:val="x_western"/>
    <w:basedOn w:val="888"/>
    <w:pPr>
      <w:spacing w:before="100" w:beforeAutospacing="1" w:after="100" w:afterAutospacing="1"/>
    </w:pPr>
    <w:rPr>
      <w:rFonts w:ascii="Times New Roman" w:hAnsi="Times New Roman" w:eastAsia="Times New Roman"/>
      <w:sz w:val="24"/>
      <w:szCs w:val="24"/>
      <w:lang w:eastAsia="pt-BR"/>
    </w:rPr>
  </w:style>
  <w:style w:type="character" w:styleId="1116" w:customStyle="1">
    <w:name w:val="Menção Pendente2"/>
    <w:semiHidden/>
    <w:rPr>
      <w:color w:val="605E5C"/>
      <w:shd w:val="clear" w:color="auto" w:fill="e1dfdd"/>
    </w:rPr>
  </w:style>
  <w:style w:type="character" w:styleId="1117" w:customStyle="1">
    <w:name w:val="Menção Pendente3"/>
    <w:semiHidden/>
    <w:rPr>
      <w:color w:val="605E5C"/>
      <w:shd w:val="clear" w:color="auto" w:fill="e1dfdd"/>
    </w:rPr>
  </w:style>
  <w:style w:type="table" w:styleId="1118" w:customStyle="1">
    <w:name w:val="2"/>
    <w:basedOn w:val="899"/>
    <w:tblPr/>
  </w:style>
  <w:style w:type="character" w:styleId="1119" w:customStyle="1">
    <w:name w:val="fontstyle01"/>
    <w:rPr>
      <w:rFonts w:ascii="TimesNewRoman" w:hAnsi="TimesNewRoman"/>
      <w:color w:val="000000"/>
      <w:sz w:val="14"/>
      <w:szCs w:val="14"/>
    </w:rPr>
  </w:style>
  <w:style w:type="paragraph" w:styleId="1120">
    <w:name w:val="Normal (Web)"/>
    <w:basedOn w:val="888"/>
    <w:pPr>
      <w:spacing w:before="100" w:beforeAutospacing="1" w:after="100" w:afterAutospacing="1"/>
    </w:pPr>
    <w:rPr>
      <w:rFonts w:ascii="Times New Roman" w:hAnsi="Times New Roman" w:eastAsia="Times New Roman"/>
      <w:sz w:val="24"/>
      <w:szCs w:val="24"/>
      <w:lang w:eastAsia="pt-BR"/>
    </w:rPr>
  </w:style>
  <w:style w:type="paragraph" w:styleId="1121">
    <w:name w:val="Body Text Indent"/>
    <w:basedOn w:val="888"/>
    <w:link w:val="1122"/>
    <w:semiHidden/>
    <w:pPr>
      <w:ind w:left="283"/>
      <w:spacing w:after="120"/>
    </w:pPr>
  </w:style>
  <w:style w:type="character" w:styleId="1122" w:customStyle="1">
    <w:name w:val="Recuo de corpo de texto Char"/>
    <w:link w:val="1121"/>
    <w:semiHidden/>
    <w:rPr>
      <w:lang w:eastAsia="en-US"/>
    </w:rPr>
  </w:style>
  <w:style w:type="character" w:styleId="1123" w:customStyle="1">
    <w:name w:val="markedcontent"/>
    <w:basedOn w:val="898"/>
  </w:style>
  <w:style w:type="table" w:styleId="1124" w:customStyle="1">
    <w:name w:val="Tabela com grade1"/>
    <w:basedOn w:val="899"/>
    <w:next w:val="939"/>
    <w:rPr>
      <w:rFonts w:ascii="Calibri" w:hAnsi="Calibri" w:eastAsia="Calibri"/>
      <w:sz w:val="22"/>
      <w:szCs w:val="22"/>
      <w:lang w:eastAsia="en-US"/>
    </w:rPr>
    <w:tblPr/>
  </w:style>
  <w:style w:type="character" w:styleId="1125" w:customStyle="1">
    <w:name w:val="Parágrafo da Lista Char"/>
    <w:link w:val="924"/>
    <w:rPr>
      <w:rFonts w:ascii="Calibri" w:hAnsi="Calibri" w:eastAsia="Calibri"/>
      <w:sz w:val="22"/>
      <w:szCs w:val="22"/>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CE9A253B-7944-4F43-B518-651900F451B2}"/>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revision>8</cp:revision>
  <dcterms:created xsi:type="dcterms:W3CDTF">2022-07-28T19:21:00Z</dcterms:created>
  <dcterms:modified xsi:type="dcterms:W3CDTF">2022-09-20T19:31:54Z</dcterms:modified>
</cp:coreProperties>
</file>