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r/>
      <w:r/>
    </w:p>
    <w:p>
      <w:r/>
      <w:r/>
    </w:p>
    <w:p>
      <w:r/>
      <w:r/>
    </w:p>
    <w:p>
      <w:r/>
      <w:r/>
    </w:p>
    <w:p>
      <w:r/>
      <w:r/>
    </w:p>
    <w:p>
      <w:r/>
      <w:r/>
    </w:p>
    <w:p>
      <w:r/>
      <w:r/>
    </w:p>
    <w:p>
      <w:r/>
      <w:r/>
    </w:p>
    <w:p>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1" locked="0" layoutInCell="1" allowOverlap="1">
                <wp:simplePos x="0" y="0"/>
                <wp:positionH relativeFrom="column">
                  <wp:posOffset>-870585</wp:posOffset>
                </wp:positionH>
                <wp:positionV relativeFrom="page">
                  <wp:posOffset>1276350</wp:posOffset>
                </wp:positionV>
                <wp:extent cx="7101051" cy="7677150"/>
                <wp:effectExtent l="0" t="0" r="5080" b="0"/>
                <wp:wrapNone/>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3"/>
                        <a:stretch/>
                      </pic:blipFill>
                      <pic:spPr bwMode="auto">
                        <a:xfrm>
                          <a:off x="0" y="0"/>
                          <a:ext cx="7101051" cy="76771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2336;o:allowoverlap:true;o:allowincell:true;mso-position-horizontal-relative:text;margin-left:-68.5pt;mso-position-horizontal:absolute;mso-position-vertical-relative:page;margin-top:100.5pt;mso-position-vertical:absolute;width:559.1pt;height:604.5pt;mso-wrap-distance-left:9.0pt;mso-wrap-distance-top:0.0pt;mso-wrap-distance-right:9.0pt;mso-wrap-distance-bottom:0.0pt;" stroked="f">
                <v:path textboxrect="0,0,0,0"/>
                <v:imagedata r:id="rId13" o:title=""/>
              </v:shape>
            </w:pict>
          </mc:Fallback>
        </mc:AlternateContent>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Pr>
          <w:lang w:eastAsia="pt-BR"/>
        </w:rPr>
      </w:r>
      <w:r/>
    </w:p>
    <w:p>
      <w:r/>
      <w:r/>
    </w:p>
    <w:p>
      <w:r/>
      <w: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1132840</wp:posOffset>
                </wp:positionH>
                <wp:positionV relativeFrom="paragraph">
                  <wp:posOffset>100468</wp:posOffset>
                </wp:positionV>
                <wp:extent cx="5029200" cy="1943100"/>
                <wp:effectExtent l="0" t="0" r="0" b="0"/>
                <wp:wrapNone/>
                <wp:docPr id="5"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199" cy="1943100"/>
                        </a:xfrm>
                        <a:prstGeom prst="rect">
                          <a:avLst/>
                        </a:prstGeom>
                        <a:noFill/>
                        <a:ln w="9525">
                          <a:noFill/>
                          <a:miter lim="800000"/>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r>
                              <w:rPr>
                                <w:rFonts w:ascii="Calibri" w:hAnsi="Calibri" w:cs="Calibri"/>
                                <w:b/>
                                <w:color w:val="404040"/>
                                <w:sz w:val="72"/>
                                <w:szCs w:val="52"/>
                              </w:rP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r>
                              <w:rPr>
                                <w:rFonts w:ascii="Calibri" w:hAnsi="Calibri" w:cs="Calibri"/>
                                <w:b/>
                                <w:color w:val="404040"/>
                                <w:sz w:val="72"/>
                                <w:szCs w:val="52"/>
                              </w:rPr>
                            </w:r>
                          </w:p>
                          <w:p>
                            <w:pPr>
                              <w:jc w:val="right"/>
                              <w:rPr>
                                <w:rFonts w:ascii="Calibri" w:hAnsi="Calibri" w:cs="Calibri"/>
                                <w:b/>
                                <w:color w:val="4bacc6"/>
                                <w:sz w:val="72"/>
                                <w:szCs w:val="52"/>
                              </w:rPr>
                            </w:pPr>
                            <w:r>
                              <w:rPr>
                                <w:rFonts w:ascii="Calibri" w:hAnsi="Calibri" w:cs="Calibri"/>
                                <w:b/>
                                <w:color w:val="4bacc6"/>
                                <w:sz w:val="72"/>
                                <w:szCs w:val="52"/>
                              </w:rPr>
                              <w:t xml:space="preserve">091/2022</w:t>
                            </w:r>
                            <w:r/>
                            <w:r>
                              <w:rPr>
                                <w:rFonts w:ascii="Calibri" w:hAnsi="Calibri" w:cs="Calibri"/>
                                <w:b/>
                                <w:color w:val="4bacc6"/>
                                <w:sz w:val="72"/>
                                <w:szCs w:val="52"/>
                              </w:rP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202" type="#_x0000_t202" style="position:absolute;z-index:251664384;o:allowoverlap:true;o:allowincell:true;mso-position-horizontal-relative:text;margin-left:89.2pt;mso-position-horizontal:absolute;mso-position-vertical-relative:text;margin-top:7.9pt;mso-position-vertical:absolute;width:396.0pt;height:153.0pt;mso-wrap-distance-left:9.0pt;mso-wrap-distance-top:0.0pt;mso-wrap-distance-right:9.0pt;mso-wrap-distance-bottom:0.0pt;v-text-anchor:top;visibility:visible;" filled="f" stroked="f" strokeweight="0.75pt">
                <v:textbox inset="0,0,0,0">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r>
                        <w:rPr>
                          <w:rFonts w:ascii="Calibri" w:hAnsi="Calibri" w:cs="Calibri"/>
                          <w:b/>
                          <w:color w:val="404040"/>
                          <w:sz w:val="72"/>
                          <w:szCs w:val="52"/>
                        </w:rP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r>
                        <w:rPr>
                          <w:rFonts w:ascii="Calibri" w:hAnsi="Calibri" w:cs="Calibri"/>
                          <w:b/>
                          <w:color w:val="404040"/>
                          <w:sz w:val="72"/>
                          <w:szCs w:val="52"/>
                        </w:rPr>
                      </w:r>
                    </w:p>
                    <w:p>
                      <w:pPr>
                        <w:jc w:val="right"/>
                        <w:rPr>
                          <w:rFonts w:ascii="Calibri" w:hAnsi="Calibri" w:cs="Calibri"/>
                          <w:b/>
                          <w:color w:val="4bacc6"/>
                          <w:sz w:val="72"/>
                          <w:szCs w:val="52"/>
                        </w:rPr>
                      </w:pPr>
                      <w:r>
                        <w:rPr>
                          <w:rFonts w:ascii="Calibri" w:hAnsi="Calibri" w:cs="Calibri"/>
                          <w:b/>
                          <w:color w:val="4bacc6"/>
                          <w:sz w:val="72"/>
                          <w:szCs w:val="52"/>
                        </w:rPr>
                        <w:t xml:space="preserve">091/2022</w:t>
                      </w:r>
                      <w:r/>
                      <w:r>
                        <w:rPr>
                          <w:rFonts w:ascii="Calibri" w:hAnsi="Calibri" w:cs="Calibri"/>
                          <w:b/>
                          <w:color w:val="4bacc6"/>
                          <w:sz w:val="72"/>
                          <w:szCs w:val="52"/>
                        </w:rPr>
                      </w:r>
                    </w:p>
                  </w:txbxContent>
                </v:textbox>
              </v:shape>
            </w:pict>
          </mc:Fallback>
        </mc:AlternateContent>
      </w:r>
      <w:r/>
      <w:r/>
    </w:p>
    <w:p>
      <w:r/>
      <w:r/>
    </w:p>
    <w:p>
      <w:r/>
      <w:r/>
    </w:p>
    <w:p>
      <w:r/>
      <w:r/>
    </w:p>
    <w:p>
      <w:r/>
      <w:r/>
    </w:p>
    <w:p>
      <w:r/>
      <w:r/>
    </w:p>
    <w:p>
      <w:r/>
      <w:r/>
    </w:p>
    <w:p>
      <w:r/>
      <w:r/>
    </w:p>
    <w:p>
      <w:r/>
      <w:r/>
    </w:p>
    <w:p>
      <w:r/>
      <w:r/>
    </w:p>
    <w:p>
      <w:r/>
      <w:r/>
    </w:p>
    <w:p>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0" locked="0" layoutInCell="1" allowOverlap="1">
                <wp:simplePos x="0" y="0"/>
                <wp:positionH relativeFrom="margin">
                  <wp:posOffset>-390022</wp:posOffset>
                </wp:positionH>
                <wp:positionV relativeFrom="margin">
                  <wp:posOffset>7631730</wp:posOffset>
                </wp:positionV>
                <wp:extent cx="6414973" cy="1880558"/>
                <wp:effectExtent l="0" t="0" r="0" b="5715"/>
                <wp:wrapNone/>
                <wp:docPr id="6"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414973" cy="1880558"/>
                        </a:xfrm>
                        <a:prstGeom prst="rect">
                          <a:avLst/>
                        </a:prstGeom>
                        <a:noFill/>
                        <a:ln w="9525">
                          <a:noFill/>
                          <a:miter lim="800000"/>
                          <a:headEnd/>
                          <a:tailEnd/>
                        </a:ln>
                      </wps:spPr>
                      <wps:txbx>
                        <w:txbxContent>
                          <w:p>
                            <w:pPr>
                              <w:jc w:val="center"/>
                              <w:rPr>
                                <w:rFonts w:ascii="Arial" w:hAnsi="Arial" w:eastAsia="Cambria"/>
                                <w:sz w:val="40"/>
                                <w:szCs w:val="40"/>
                              </w:rPr>
                            </w:pPr>
                            <w:r>
                              <w:rPr>
                                <w:rFonts w:ascii="Arial" w:hAnsi="Arial" w:eastAsia="Cambria"/>
                                <w:sz w:val="40"/>
                                <w:szCs w:val="40"/>
                              </w:rPr>
                              <w:t xml:space="preserve">AQUISIÇÃO DE MEDICAMENTOS DA FARMÁCIA BÁSICA PARA SEIS MESES DE CONSUMO ESTIMADO</w:t>
                            </w:r>
                            <w:r>
                              <w:rPr>
                                <w:rFonts w:ascii="Arial" w:hAnsi="Arial" w:eastAsia="Cambria"/>
                                <w:sz w:val="40"/>
                                <w:szCs w:val="40"/>
                              </w:rPr>
                              <w:t xml:space="preserve">, DESTINADO À AMPLA CONCORRÊNCIA</w:t>
                            </w:r>
                            <w:r/>
                          </w:p>
                          <w:p>
                            <w:pPr>
                              <w:jc w:val="center"/>
                              <w:rPr>
                                <w:rFonts w:ascii="Arial" w:hAnsi="Arial" w:eastAsia="Cambria" w:cs="Arial"/>
                                <w:sz w:val="32"/>
                                <w:szCs w:val="32"/>
                              </w:rPr>
                            </w:pPr>
                            <w:r>
                              <w:rPr>
                                <w:rFonts w:ascii="Arial" w:hAnsi="Arial" w:eastAsia="Cambria" w:cs="Arial"/>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14/</w:t>
                            </w:r>
                            <w:r>
                              <w:rPr>
                                <w:rFonts w:ascii="Arial" w:hAnsi="Arial" w:cs="Arial"/>
                                <w:sz w:val="40"/>
                              </w:rPr>
                              <w:t xml:space="preserve">10/2022 às </w:t>
                            </w:r>
                            <w:r>
                              <w:rPr>
                                <w:rFonts w:ascii="Arial" w:hAnsi="Arial" w:cs="Arial"/>
                                <w:sz w:val="40"/>
                              </w:rPr>
                              <w:t xml:space="preserve">10h00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202" type="#_x0000_t202" style="position:absolute;z-index:251668480;o:allowoverlap:true;o:allowincell:true;mso-position-horizontal-relative:margin;margin-left:-30.7pt;mso-position-horizontal:absolute;mso-position-vertical-relative:margin;margin-top:600.9pt;mso-position-vertical:absolute;width:505.1pt;height:148.1pt;mso-wrap-distance-left:9.0pt;mso-wrap-distance-top:0.0pt;mso-wrap-distance-right:9.0pt;mso-wrap-distance-bottom:0.0pt;v-text-anchor:top;visibility:visible;" filled="f" stroked="f" strokeweight="0.75pt">
                <v:textbox inset="0,0,0,0">
                  <w:txbxContent>
                    <w:p>
                      <w:pPr>
                        <w:jc w:val="center"/>
                        <w:rPr>
                          <w:rFonts w:ascii="Arial" w:hAnsi="Arial" w:eastAsia="Cambria"/>
                          <w:sz w:val="40"/>
                          <w:szCs w:val="40"/>
                        </w:rPr>
                      </w:pPr>
                      <w:r>
                        <w:rPr>
                          <w:rFonts w:ascii="Arial" w:hAnsi="Arial" w:eastAsia="Cambria"/>
                          <w:sz w:val="40"/>
                          <w:szCs w:val="40"/>
                        </w:rPr>
                        <w:t xml:space="preserve">AQUISIÇÃO DE MEDICAMENTOS DA FARMÁCIA BÁSICA PARA SEIS MESES DE CONSUMO ESTIMADO</w:t>
                      </w:r>
                      <w:r>
                        <w:rPr>
                          <w:rFonts w:ascii="Arial" w:hAnsi="Arial" w:eastAsia="Cambria"/>
                          <w:sz w:val="40"/>
                          <w:szCs w:val="40"/>
                        </w:rPr>
                        <w:t xml:space="preserve">, DESTINADO À AMPLA CONCORRÊNCIA</w:t>
                      </w:r>
                      <w:r/>
                    </w:p>
                    <w:p>
                      <w:pPr>
                        <w:jc w:val="center"/>
                        <w:rPr>
                          <w:rFonts w:ascii="Arial" w:hAnsi="Arial" w:eastAsia="Cambria" w:cs="Arial"/>
                          <w:sz w:val="32"/>
                          <w:szCs w:val="32"/>
                        </w:rPr>
                      </w:pPr>
                      <w:r>
                        <w:rPr>
                          <w:rFonts w:ascii="Arial" w:hAnsi="Arial" w:eastAsia="Cambria" w:cs="Arial"/>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14/</w:t>
                      </w:r>
                      <w:r>
                        <w:rPr>
                          <w:rFonts w:ascii="Arial" w:hAnsi="Arial" w:cs="Arial"/>
                          <w:sz w:val="40"/>
                        </w:rPr>
                        <w:t xml:space="preserve">10/2022 às </w:t>
                      </w:r>
                      <w:r>
                        <w:rPr>
                          <w:rFonts w:ascii="Arial" w:hAnsi="Arial" w:cs="Arial"/>
                          <w:sz w:val="40"/>
                        </w:rPr>
                        <w:t xml:space="preserve">10h00</w:t>
                      </w:r>
                      <w:r/>
                    </w:p>
                  </w:txbxContent>
                </v:textbox>
              </v:shape>
            </w:pict>
          </mc:Fallback>
        </mc:AlternateContent>
      </w:r>
      <w:r/>
    </w:p>
    <w:p>
      <w:pPr>
        <w:spacing w:after="160" w:line="259" w:lineRule="auto"/>
        <w:sectPr>
          <w:headerReference w:type="default" r:id="rId9"/>
          <w:footnotePr/>
          <w:endnotePr/>
          <w:type w:val="nextPage"/>
          <w:pgSz w:w="11906" w:h="16838" w:orient="portrait"/>
          <w:pgMar w:top="1417" w:right="1701" w:bottom="1417" w:left="1701" w:header="283" w:footer="1134" w:gutter="0"/>
          <w:cols w:num="1" w:sep="0" w:space="708" w:equalWidth="1"/>
          <w:docGrid w:linePitch="360"/>
        </w:sectPr>
      </w:pPr>
      <w:r>
        <w:br w:type="page" w:clear="all"/>
      </w:r>
      <w:r/>
    </w:p>
    <w:p>
      <w:pPr>
        <w:pStyle w:val="877"/>
        <w:jc w:val="center"/>
        <w:rPr>
          <w:rFonts w:cs="Arial"/>
          <w:b/>
          <w:bCs/>
          <w:szCs w:val="24"/>
        </w:rPr>
      </w:pPr>
      <w:r>
        <w:rPr>
          <w:rFonts w:cs="Arial"/>
          <w:b/>
          <w:bCs/>
          <w:szCs w:val="24"/>
        </w:rPr>
        <w:t xml:space="preserve">PREGÃO ELETRÔNICO Nº </w:t>
      </w:r>
      <w:r>
        <w:rPr>
          <w:rFonts w:cs="Arial"/>
          <w:b/>
          <w:bCs/>
          <w:szCs w:val="24"/>
        </w:rPr>
        <w:t xml:space="preserve">091/2022</w:t>
      </w:r>
      <w:r/>
    </w:p>
    <w:p>
      <w:pPr>
        <w:jc w:val="center"/>
        <w:spacing w:line="276" w:lineRule="auto"/>
        <w:rPr>
          <w:rFonts w:ascii="Arial" w:hAnsi="Arial" w:cs="Arial"/>
          <w:sz w:val="24"/>
          <w:szCs w:val="24"/>
        </w:rPr>
      </w:pPr>
      <w:r>
        <w:rPr>
          <w:rFonts w:ascii="Arial" w:hAnsi="Arial" w:cs="Arial"/>
          <w:sz w:val="24"/>
          <w:szCs w:val="24"/>
        </w:rPr>
      </w:r>
      <w:r/>
    </w:p>
    <w:p>
      <w:pPr>
        <w:pStyle w:val="877"/>
        <w:jc w:val="center"/>
        <w:rPr>
          <w:rFonts w:cs="Arial"/>
          <w:b/>
          <w:bCs/>
          <w:szCs w:val="24"/>
        </w:rPr>
      </w:pPr>
      <w:r>
        <w:rPr>
          <w:rFonts w:cs="Arial"/>
          <w:b/>
          <w:bCs/>
          <w:szCs w:val="24"/>
        </w:rPr>
        <w:t xml:space="preserve">PROCESSO ADMINISTRATIVO Nº </w:t>
      </w:r>
      <w:r>
        <w:rPr>
          <w:rFonts w:cs="Arial"/>
          <w:b/>
          <w:bCs/>
          <w:szCs w:val="24"/>
        </w:rPr>
        <w:t xml:space="preserve">7.680/2022 e 7.683/2022</w:t>
      </w:r>
      <w:r/>
    </w:p>
    <w:p>
      <w:pPr>
        <w:jc w:val="both"/>
        <w:spacing w:line="276" w:lineRule="auto"/>
        <w:rPr>
          <w:rFonts w:ascii="Arial" w:hAnsi="Arial" w:cs="Arial"/>
          <w:sz w:val="24"/>
          <w:szCs w:val="24"/>
        </w:rPr>
      </w:pPr>
      <w:r>
        <w:rPr>
          <w:rFonts w:ascii="Arial" w:hAnsi="Arial" w:cs="Arial"/>
          <w:sz w:val="24"/>
          <w:szCs w:val="24"/>
        </w:rPr>
      </w:r>
      <w:r/>
    </w:p>
    <w:p>
      <w:pPr>
        <w:pStyle w:val="853"/>
        <w:ind w:right="49"/>
        <w:jc w:val="both"/>
        <w:spacing w:line="276" w:lineRule="auto"/>
        <w:rPr>
          <w:rFonts w:ascii="Arial" w:hAnsi="Arial" w:eastAsia="Arial" w:cs="Arial"/>
          <w:b/>
          <w:sz w:val="24"/>
          <w:szCs w:val="24"/>
        </w:rPr>
      </w:pPr>
      <w:r>
        <w:rPr>
          <w:rFonts w:ascii="Arial" w:hAnsi="Arial" w:eastAsia="Arial" w:cs="Arial"/>
          <w:b/>
          <w:sz w:val="24"/>
          <w:szCs w:val="24"/>
        </w:rPr>
        <w:t xml:space="preserve">DATA DA ABERTURA: </w:t>
      </w:r>
      <w:r>
        <w:rPr>
          <w:rFonts w:ascii="Arial" w:hAnsi="Arial" w:eastAsia="Arial" w:cs="Arial"/>
          <w:b/>
          <w:sz w:val="24"/>
          <w:szCs w:val="24"/>
        </w:rPr>
        <w:t xml:space="preserve">14/</w:t>
      </w:r>
      <w:r>
        <w:rPr>
          <w:rFonts w:ascii="Arial" w:hAnsi="Arial" w:eastAsia="Arial" w:cs="Arial"/>
          <w:b/>
          <w:sz w:val="24"/>
          <w:szCs w:val="24"/>
        </w:rPr>
        <w:t xml:space="preserve">10/2022</w:t>
      </w:r>
      <w:r/>
    </w:p>
    <w:p>
      <w:pPr>
        <w:pStyle w:val="853"/>
        <w:ind w:right="49"/>
        <w:jc w:val="both"/>
        <w:spacing w:line="276" w:lineRule="auto"/>
        <w:rPr>
          <w:rFonts w:ascii="Arial" w:hAnsi="Arial" w:eastAsia="Arial" w:cs="Arial"/>
          <w:sz w:val="24"/>
          <w:szCs w:val="24"/>
        </w:rPr>
      </w:pPr>
      <w:r>
        <w:rPr>
          <w:rFonts w:ascii="Arial" w:hAnsi="Arial" w:eastAsia="Arial" w:cs="Arial"/>
          <w:b/>
          <w:sz w:val="24"/>
          <w:szCs w:val="24"/>
        </w:rPr>
        <w:t xml:space="preserve">HORÁRIO: </w:t>
      </w:r>
      <w:r>
        <w:rPr>
          <w:rFonts w:ascii="Arial" w:hAnsi="Arial" w:eastAsia="Arial" w:cs="Arial"/>
          <w:b/>
          <w:sz w:val="24"/>
          <w:szCs w:val="24"/>
        </w:rPr>
        <w:t xml:space="preserve">10h00</w:t>
      </w:r>
      <w:r/>
    </w:p>
    <w:p>
      <w:pPr>
        <w:pStyle w:val="853"/>
        <w:ind w:right="49"/>
        <w:jc w:val="both"/>
        <w:spacing w:line="276" w:lineRule="auto"/>
        <w:rPr>
          <w:rFonts w:ascii="Arial" w:hAnsi="Arial" w:cs="Arial"/>
          <w:color w:val="000000"/>
          <w:sz w:val="24"/>
          <w:szCs w:val="24"/>
        </w:rPr>
      </w:pPr>
      <w:r>
        <w:rPr>
          <w:rFonts w:ascii="Arial" w:hAnsi="Arial" w:eastAsia="Arial" w:cs="Arial"/>
          <w:b/>
          <w:sz w:val="24"/>
          <w:szCs w:val="24"/>
        </w:rPr>
        <w:t xml:space="preserve">LOCAL DA SESSÃO PÚBLICA:</w:t>
      </w:r>
      <w:r>
        <w:rPr>
          <w:rFonts w:ascii="Arial" w:hAnsi="Arial" w:eastAsia="Arial" w:cs="Arial"/>
          <w:sz w:val="24"/>
          <w:szCs w:val="24"/>
        </w:rPr>
        <w:t xml:space="preserve"> </w:t>
      </w:r>
      <w:r>
        <w:rPr>
          <w:rFonts w:ascii="Arial" w:hAnsi="Arial" w:cs="Arial"/>
          <w:color w:val="000000"/>
          <w:sz w:val="24"/>
          <w:szCs w:val="24"/>
        </w:rPr>
        <w:t xml:space="preserve">Portal de Compras do Governo Federal</w:t>
      </w:r>
      <w:r/>
    </w:p>
    <w:p>
      <w:pPr>
        <w:pStyle w:val="853"/>
        <w:ind w:right="49"/>
        <w:jc w:val="both"/>
        <w:spacing w:line="276" w:lineRule="auto"/>
        <w:rPr>
          <w:rFonts w:ascii="Arial" w:hAnsi="Arial" w:cs="Arial"/>
          <w:sz w:val="24"/>
          <w:szCs w:val="24"/>
        </w:rPr>
      </w:pPr>
      <w:r/>
      <w:hyperlink r:id="rId14" w:tooltip="https://www.gov.br/compras/pt-br/" w:history="1">
        <w:r>
          <w:rPr>
            <w:rStyle w:val="854"/>
            <w:rFonts w:ascii="Arial" w:hAnsi="Arial" w:cs="Arial"/>
            <w:sz w:val="24"/>
            <w:szCs w:val="24"/>
          </w:rPr>
          <w:t xml:space="preserve">https://www.gov.br/compras/pt-br/</w:t>
        </w:r>
      </w:hyperlink>
      <w:r/>
      <w:r/>
    </w:p>
    <w:p>
      <w:pPr>
        <w:pStyle w:val="853"/>
        <w:ind w:right="49"/>
        <w:jc w:val="both"/>
        <w:spacing w:line="276" w:lineRule="auto"/>
        <w:rPr>
          <w:rFonts w:ascii="Arial" w:hAnsi="Arial" w:cs="Arial"/>
          <w:color w:val="ff0000"/>
          <w:sz w:val="24"/>
          <w:szCs w:val="24"/>
        </w:rPr>
      </w:pPr>
      <w:r>
        <w:rPr>
          <w:rFonts w:ascii="Arial" w:hAnsi="Arial" w:eastAsia="Arial" w:cs="Arial"/>
          <w:b/>
          <w:sz w:val="24"/>
          <w:szCs w:val="24"/>
        </w:rPr>
        <w:t xml:space="preserve">UASG</w:t>
      </w:r>
      <w:r>
        <w:rPr>
          <w:rFonts w:ascii="Arial" w:hAnsi="Arial" w:eastAsia="Arial" w:cs="Arial"/>
          <w:b/>
          <w:sz w:val="24"/>
          <w:szCs w:val="24"/>
        </w:rPr>
        <w:t xml:space="preserve"> DA PREFEITURA MUNICIPAL DE TERESÓPOLIS:</w:t>
      </w:r>
      <w:r>
        <w:rPr>
          <w:rFonts w:ascii="Arial" w:hAnsi="Arial" w:eastAsia="Arial" w:cs="Arial"/>
          <w:sz w:val="24"/>
          <w:szCs w:val="24"/>
        </w:rPr>
        <w:t xml:space="preserve"> 985915</w:t>
      </w:r>
      <w:r/>
    </w:p>
    <w:p>
      <w:pPr>
        <w:jc w:val="both"/>
        <w:rPr>
          <w:rFonts w:ascii="Arial" w:hAnsi="Arial" w:cs="Arial"/>
        </w:rPr>
      </w:pPr>
      <w:r>
        <w:rPr>
          <w:rFonts w:ascii="Arial" w:hAnsi="Arial" w:eastAsia="Arial" w:cs="Arial"/>
          <w:sz w:val="24"/>
          <w:szCs w:val="24"/>
        </w:rPr>
        <w:t xml:space="preserve">O MUNICÍPIO DE TERESÓPOLIS, através de seu Pregoeiro, nomeado pela Portaria </w:t>
      </w:r>
      <w:r>
        <w:rPr>
          <w:rFonts w:ascii="Arial" w:hAnsi="Arial" w:eastAsia="Arial" w:cs="Arial"/>
          <w:sz w:val="24"/>
          <w:szCs w:val="24"/>
        </w:rPr>
        <w:t xml:space="preserve">G.P</w:t>
      </w:r>
      <w:r>
        <w:rPr>
          <w:rFonts w:ascii="Arial" w:hAnsi="Arial" w:eastAsia="Arial" w:cs="Arial"/>
          <w:sz w:val="24"/>
          <w:szCs w:val="24"/>
        </w:rPr>
        <w:t xml:space="preserve">. nº 75, de 21 de janeiro de 2022, de conformidade com o</w:t>
      </w:r>
      <w:r>
        <w:rPr>
          <w:rFonts w:ascii="Arial" w:hAnsi="Arial" w:eastAsia="Arial" w:cs="Arial"/>
          <w:sz w:val="24"/>
          <w:szCs w:val="24"/>
        </w:rPr>
        <w:t xml:space="preserve">s</w:t>
      </w:r>
      <w:r>
        <w:rPr>
          <w:rFonts w:ascii="Arial" w:hAnsi="Arial" w:eastAsia="Arial" w:cs="Arial"/>
          <w:sz w:val="24"/>
          <w:szCs w:val="24"/>
        </w:rPr>
        <w:t xml:space="preserve"> processo</w:t>
      </w:r>
      <w:r>
        <w:rPr>
          <w:rFonts w:ascii="Arial" w:hAnsi="Arial" w:eastAsia="Arial" w:cs="Arial"/>
          <w:sz w:val="24"/>
          <w:szCs w:val="24"/>
        </w:rPr>
        <w:t xml:space="preserve">s</w:t>
      </w:r>
      <w:r>
        <w:rPr>
          <w:rFonts w:ascii="Arial" w:hAnsi="Arial" w:eastAsia="Arial" w:cs="Arial"/>
          <w:sz w:val="24"/>
          <w:szCs w:val="24"/>
        </w:rPr>
        <w:t xml:space="preserve"> administrativo</w:t>
      </w:r>
      <w:r>
        <w:rPr>
          <w:rFonts w:ascii="Arial" w:hAnsi="Arial" w:eastAsia="Arial" w:cs="Arial"/>
          <w:sz w:val="24"/>
          <w:szCs w:val="24"/>
        </w:rPr>
        <w:t xml:space="preserve">s</w:t>
      </w:r>
      <w:r>
        <w:rPr>
          <w:rFonts w:ascii="Arial" w:hAnsi="Arial" w:eastAsia="Arial" w:cs="Arial"/>
          <w:sz w:val="24"/>
          <w:szCs w:val="24"/>
        </w:rPr>
        <w:t xml:space="preserve"> nº </w:t>
      </w:r>
      <w:r>
        <w:rPr>
          <w:rFonts w:ascii="Arial" w:hAnsi="Arial" w:cs="Arial"/>
          <w:sz w:val="24"/>
          <w:szCs w:val="24"/>
        </w:rPr>
        <w:t xml:space="preserve">7.680/2022 e 7.683/2022</w:t>
      </w:r>
      <w:r>
        <w:rPr>
          <w:rFonts w:ascii="Arial" w:hAnsi="Arial" w:eastAsia="Arial" w:cs="Arial"/>
          <w:color w:val="000000" w:themeColor="text1"/>
          <w:sz w:val="24"/>
          <w:szCs w:val="24"/>
        </w:rPr>
        <w:t xml:space="preserve">, </w:t>
      </w:r>
      <w:r>
        <w:rPr>
          <w:rFonts w:ascii="Arial" w:hAnsi="Arial" w:eastAsia="Arial" w:cs="Arial"/>
          <w:sz w:val="24"/>
          <w:szCs w:val="24"/>
        </w:rPr>
        <w:t xml:space="preserve">comunica aos interessados que irá realizar </w:t>
      </w:r>
      <w:r>
        <w:rPr>
          <w:rFonts w:ascii="Arial" w:hAnsi="Arial" w:eastAsia="Arial"/>
          <w:b/>
          <w:sz w:val="24"/>
          <w:szCs w:val="24"/>
        </w:rPr>
        <w:t xml:space="preserve">PREGÃO ELETRÔNICO DO TIPO MENOR PREÇO PARA </w:t>
      </w:r>
      <w:r>
        <w:rPr>
          <w:rFonts w:ascii="Arial" w:hAnsi="Arial"/>
          <w:b/>
          <w:bCs/>
          <w:sz w:val="24"/>
          <w:szCs w:val="24"/>
        </w:rPr>
        <w:t xml:space="preserve">AQUISIÇÃO DE MEDICAMENTOS DA FARMÁCIA BÁSICA PARA SEIS MESES DE CONSUMO ESTIMADO</w:t>
      </w:r>
      <w:r>
        <w:rPr>
          <w:rFonts w:ascii="Arial" w:hAnsi="Arial" w:cs="Arial"/>
          <w:b/>
          <w:bCs/>
          <w:sz w:val="24"/>
          <w:szCs w:val="24"/>
        </w:rPr>
        <w:t xml:space="preserve">, </w:t>
      </w:r>
      <w:r>
        <w:rPr>
          <w:rFonts w:ascii="Arial" w:hAnsi="Arial" w:eastAsia="Arial" w:cs="Arial"/>
          <w:sz w:val="24"/>
          <w:szCs w:val="24"/>
        </w:rPr>
        <w:t xml:space="preserve">com observância nos Decretos Municipais nº 3.674 de 18 de maio de 2009, e 5.334 de 15 de julho de 2020,</w:t>
      </w:r>
      <w:r>
        <w:rPr>
          <w:rFonts w:ascii="Arial" w:hAnsi="Arial" w:eastAsia="Arial" w:cs="Arial"/>
          <w:b/>
          <w:color w:val="ff0000"/>
          <w:sz w:val="24"/>
          <w:szCs w:val="24"/>
        </w:rPr>
        <w:t xml:space="preserve"> </w:t>
      </w:r>
      <w:r>
        <w:rPr>
          <w:rFonts w:ascii="Arial" w:hAnsi="Arial" w:eastAsia="Arial" w:cs="Arial"/>
          <w:sz w:val="24"/>
          <w:szCs w:val="24"/>
        </w:rPr>
        <w:t xml:space="preserve">ao Decreto Federal nº 10.024, de 20 de setembro de 2019, com observância da Lei Federal nº 10.520 de 17 de julho de 2002 e</w:t>
      </w:r>
      <w:r>
        <w:rPr>
          <w:rFonts w:ascii="Arial" w:hAnsi="Arial" w:eastAsia="Arial" w:cs="Arial"/>
          <w:sz w:val="24"/>
          <w:szCs w:val="24"/>
        </w:rPr>
        <w:t xml:space="preserve"> as disposições contidas na Lei Federal nº 8.666/93, Lei Complementar Federal nº 123/2006 e suas posteriores modificações, assim como a Lei Complementar Municipal nº 267/2019 e suas alterações, e demais normas complementares e disposições deste instrumento</w:t>
      </w:r>
      <w:r>
        <w:rPr>
          <w:rFonts w:ascii="Arial" w:hAnsi="Arial" w:cs="Arial"/>
          <w:sz w:val="24"/>
          <w:szCs w:val="24"/>
          <w:lang w:eastAsia="pt-BR"/>
        </w:rPr>
        <w:t xml:space="preserve">.</w:t>
      </w:r>
      <w:r/>
    </w:p>
    <w:p>
      <w:pPr>
        <w:pStyle w:val="856"/>
        <w:numPr>
          <w:ilvl w:val="0"/>
          <w:numId w:val="1"/>
        </w:numPr>
        <w:contextualSpacing w:val="0"/>
        <w:ind w:left="284" w:right="49" w:hanging="284"/>
        <w:jc w:val="both"/>
        <w:spacing w:after="240" w:line="276" w:lineRule="auto"/>
        <w:widowControl w:val="off"/>
        <w:tabs>
          <w:tab w:val="left" w:pos="426" w:leader="none"/>
        </w:tabs>
        <w:rPr>
          <w:rFonts w:ascii="Arial" w:hAnsi="Arial" w:cs="Arial"/>
          <w:b/>
          <w:sz w:val="24"/>
          <w:szCs w:val="24"/>
        </w:rPr>
      </w:pPr>
      <w:r>
        <w:rPr>
          <w:rFonts w:ascii="Arial" w:hAnsi="Arial" w:cs="Arial"/>
          <w:b/>
          <w:sz w:val="24"/>
          <w:szCs w:val="24"/>
        </w:rPr>
        <w:t xml:space="preserve">DO OBJETO:</w:t>
      </w:r>
      <w:r/>
    </w:p>
    <w:p>
      <w:pPr>
        <w:pStyle w:val="856"/>
        <w:numPr>
          <w:ilvl w:val="1"/>
          <w:numId w:val="1"/>
        </w:numPr>
        <w:ind w:left="851" w:right="49" w:hanging="567"/>
        <w:jc w:val="both"/>
        <w:spacing w:line="276" w:lineRule="auto"/>
        <w:tabs>
          <w:tab w:val="left" w:pos="851" w:leader="none"/>
        </w:tabs>
        <w:rPr>
          <w:rFonts w:ascii="Arial" w:hAnsi="Arial" w:cs="Arial"/>
          <w:b/>
          <w:bCs/>
          <w:sz w:val="24"/>
          <w:szCs w:val="24"/>
        </w:rPr>
      </w:pPr>
      <w:r>
        <w:rPr>
          <w:rFonts w:ascii="Arial" w:hAnsi="Arial" w:cs="Arial"/>
          <w:sz w:val="24"/>
          <w:szCs w:val="24"/>
        </w:rPr>
        <w:t xml:space="preserve">O objeto da presente licitação é a escolha da proposta mais vantajosa para </w:t>
      </w:r>
      <w:r>
        <w:rPr>
          <w:rFonts w:ascii="Arial" w:hAnsi="Arial"/>
          <w:b/>
          <w:bCs/>
          <w:sz w:val="24"/>
          <w:szCs w:val="24"/>
        </w:rPr>
        <w:t xml:space="preserve">AQUISIÇÃO DE MEDICAMENTOS DA FARMÁCIA BÁSICA PARA SEIS MESES DE CONSUMO ESTIMADO</w:t>
      </w:r>
      <w:r>
        <w:rPr>
          <w:rFonts w:ascii="Arial" w:hAnsi="Arial" w:cs="Arial"/>
          <w:b/>
          <w:bCs/>
          <w:sz w:val="24"/>
          <w:szCs w:val="24"/>
        </w:rPr>
        <w:t xml:space="preserve">, </w:t>
      </w:r>
      <w:r>
        <w:rPr>
          <w:rFonts w:ascii="Arial" w:hAnsi="Arial" w:cs="Arial"/>
          <w:sz w:val="24"/>
          <w:szCs w:val="24"/>
        </w:rPr>
        <w:t xml:space="preserve">solicitado pel</w:t>
      </w:r>
      <w:r>
        <w:rPr>
          <w:rFonts w:ascii="Arial" w:hAnsi="Arial" w:cs="Arial"/>
          <w:sz w:val="24"/>
          <w:szCs w:val="24"/>
        </w:rPr>
        <w:t xml:space="preserve">a</w:t>
      </w:r>
      <w:r>
        <w:rPr>
          <w:rFonts w:ascii="Arial" w:hAnsi="Arial" w:cs="Arial"/>
          <w:sz w:val="24"/>
          <w:szCs w:val="24"/>
        </w:rPr>
        <w:t xml:space="preserve"> </w:t>
      </w:r>
      <w:r>
        <w:rPr>
          <w:rFonts w:ascii="Arial" w:hAnsi="Arial"/>
          <w:b/>
          <w:sz w:val="24"/>
          <w:szCs w:val="24"/>
        </w:rPr>
        <w:t xml:space="preserve">Secretaria Municipal de Saúde</w:t>
      </w:r>
      <w:r>
        <w:rPr>
          <w:rFonts w:ascii="Arial" w:hAnsi="Arial" w:cs="Arial"/>
          <w:sz w:val="24"/>
          <w:szCs w:val="24"/>
        </w:rPr>
        <w:t xml:space="preserve">, conforme condições, quantidades e exigências estabelecidas neste Edital e seus anexos.</w:t>
      </w:r>
      <w:r/>
    </w:p>
    <w:p>
      <w:pPr>
        <w:pStyle w:val="879"/>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w:t>
      </w:r>
      <w:r>
        <w:rPr>
          <w:rFonts w:ascii="Arial" w:hAnsi="Arial" w:cs="Arial"/>
          <w:b/>
          <w:iCs/>
          <w:sz w:val="24"/>
        </w:rPr>
        <w:t xml:space="preserve">o </w:t>
      </w:r>
      <w:r>
        <w:rPr>
          <w:rFonts w:ascii="Arial" w:hAnsi="Arial" w:cs="Arial"/>
          <w:b/>
          <w:iCs/>
          <w:sz w:val="24"/>
        </w:rPr>
        <w:t xml:space="preserve">menor preço</w:t>
      </w:r>
      <w:r>
        <w:rPr>
          <w:rFonts w:ascii="Arial" w:hAnsi="Arial" w:cs="Arial"/>
          <w:iCs/>
          <w:sz w:val="24"/>
        </w:rPr>
        <w:t xml:space="preserve">,</w:t>
      </w:r>
      <w:r>
        <w:rPr>
          <w:rFonts w:ascii="Arial" w:hAnsi="Arial" w:cs="Arial"/>
          <w:iCs/>
          <w:sz w:val="24"/>
        </w:rPr>
        <w:t xml:space="preserve"> observadas as exigências contidas neste Edital e seus Anexos quanto às especificações do objeto.</w:t>
      </w:r>
      <w:r/>
    </w:p>
    <w:p>
      <w:pPr>
        <w:pStyle w:val="879"/>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b/>
          <w:bCs/>
          <w:iCs/>
          <w:sz w:val="24"/>
        </w:rPr>
        <w:t xml:space="preserve">Havendo divergência entre a especificação dos itens cadastrados no </w:t>
      </w:r>
      <w:r>
        <w:rPr>
          <w:rFonts w:ascii="Arial" w:hAnsi="Arial" w:cs="Arial"/>
          <w:b/>
          <w:bCs/>
          <w:iCs/>
          <w:sz w:val="24"/>
        </w:rPr>
        <w:t xml:space="preserve">ComprasNet</w:t>
      </w:r>
      <w:r>
        <w:rPr>
          <w:rFonts w:ascii="Arial" w:hAnsi="Arial" w:cs="Arial"/>
          <w:b/>
          <w:bCs/>
          <w:iCs/>
          <w:sz w:val="24"/>
        </w:rPr>
        <w:t xml:space="preserve"> e no Termo de Referência (ANEXO I) do Edital, PREVALECERÁ, imprescindivelmente, a especificação contida no Termo de Referência.</w:t>
      </w:r>
      <w:r/>
    </w:p>
    <w:p>
      <w:pPr>
        <w:pStyle w:val="856"/>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DOS RECURSOS ORÇAMENTÁRIOS:</w:t>
      </w:r>
      <w:r/>
    </w:p>
    <w:p>
      <w:pPr>
        <w:pStyle w:val="853"/>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As despesas decorrentes de futuras contratações correrão à conta da seguinte Dotação Orçamentária:</w:t>
      </w:r>
      <w:r/>
    </w:p>
    <w:p>
      <w:pPr>
        <w:numPr>
          <w:ilvl w:val="2"/>
          <w:numId w:val="1"/>
        </w:numPr>
        <w:ind w:left="1701" w:right="49" w:hanging="851"/>
        <w:jc w:val="both"/>
        <w:spacing w:after="120" w:line="276" w:lineRule="auto"/>
        <w:rPr>
          <w:rFonts w:ascii="Arial" w:hAnsi="Arial" w:cs="Arial"/>
          <w:sz w:val="24"/>
          <w:szCs w:val="24"/>
        </w:rPr>
      </w:pPr>
      <w:r>
        <w:rPr>
          <w:rFonts w:ascii="Arial" w:hAnsi="Arial" w:cs="Arial"/>
          <w:sz w:val="24"/>
          <w:szCs w:val="24"/>
        </w:rPr>
        <w:t xml:space="preserve">Fundo Municipal de </w:t>
      </w:r>
      <w:r>
        <w:rPr>
          <w:rFonts w:ascii="Arial" w:hAnsi="Arial" w:cs="Arial"/>
          <w:sz w:val="24"/>
          <w:szCs w:val="24"/>
        </w:rPr>
        <w:t xml:space="preserve">Saúde</w:t>
      </w:r>
      <w:r>
        <w:rPr>
          <w:rFonts w:ascii="Arial" w:hAnsi="Arial" w:cs="Arial"/>
          <w:sz w:val="24"/>
          <w:szCs w:val="24"/>
        </w:rPr>
        <w:t xml:space="preserve">:</w:t>
      </w:r>
      <w:r/>
    </w:p>
    <w:p>
      <w:pPr>
        <w:pStyle w:val="853"/>
        <w:ind w:left="851"/>
        <w:jc w:val="both"/>
        <w:spacing w:before="240" w:after="240" w:line="276" w:lineRule="auto"/>
        <w:rPr>
          <w:rFonts w:ascii="Arial" w:hAnsi="Arial" w:cs="Arial"/>
          <w:b/>
          <w:bCs/>
          <w:sz w:val="24"/>
          <w:szCs w:val="24"/>
        </w:rPr>
      </w:pPr>
      <w:r>
        <w:rPr>
          <w:rFonts w:ascii="Arial" w:hAnsi="Arial" w:cs="Arial"/>
          <w:b/>
          <w:bCs/>
          <w:sz w:val="24"/>
          <w:szCs w:val="24"/>
        </w:rPr>
        <w:t xml:space="preserve">0</w:t>
      </w:r>
      <w:r>
        <w:rPr>
          <w:rFonts w:ascii="Arial" w:hAnsi="Arial" w:cs="Arial"/>
          <w:b/>
          <w:bCs/>
          <w:sz w:val="24"/>
          <w:szCs w:val="24"/>
        </w:rPr>
        <w:t xml:space="preserve">2</w:t>
      </w:r>
      <w:r>
        <w:rPr>
          <w:rFonts w:ascii="Arial" w:hAnsi="Arial" w:cs="Arial"/>
          <w:b/>
          <w:bCs/>
          <w:sz w:val="24"/>
          <w:szCs w:val="24"/>
        </w:rPr>
        <w:t xml:space="preserve">.0</w:t>
      </w:r>
      <w:r>
        <w:rPr>
          <w:rFonts w:ascii="Arial" w:hAnsi="Arial" w:cs="Arial"/>
          <w:b/>
          <w:bCs/>
          <w:sz w:val="24"/>
          <w:szCs w:val="24"/>
        </w:rPr>
        <w:t xml:space="preserve">12</w:t>
      </w:r>
      <w:r>
        <w:rPr>
          <w:rFonts w:ascii="Arial" w:hAnsi="Arial" w:cs="Arial"/>
          <w:b/>
          <w:bCs/>
          <w:sz w:val="24"/>
          <w:szCs w:val="24"/>
        </w:rPr>
        <w:t xml:space="preserve">.</w:t>
      </w:r>
      <w:r>
        <w:rPr>
          <w:rFonts w:ascii="Arial" w:hAnsi="Arial" w:cs="Arial"/>
          <w:b/>
          <w:bCs/>
          <w:sz w:val="24"/>
          <w:szCs w:val="24"/>
        </w:rPr>
        <w:t xml:space="preserve">10</w:t>
      </w:r>
      <w:r>
        <w:rPr>
          <w:rFonts w:ascii="Arial" w:hAnsi="Arial" w:cs="Arial"/>
          <w:b/>
          <w:bCs/>
          <w:sz w:val="24"/>
          <w:szCs w:val="24"/>
        </w:rPr>
        <w:t xml:space="preserve">.</w:t>
      </w:r>
      <w:r>
        <w:rPr>
          <w:rFonts w:ascii="Arial" w:hAnsi="Arial" w:cs="Arial"/>
          <w:b/>
          <w:bCs/>
          <w:sz w:val="24"/>
          <w:szCs w:val="24"/>
        </w:rPr>
        <w:t xml:space="preserve">303</w:t>
      </w:r>
      <w:r>
        <w:rPr>
          <w:rFonts w:ascii="Arial" w:hAnsi="Arial" w:cs="Arial"/>
          <w:b/>
          <w:bCs/>
          <w:sz w:val="24"/>
          <w:szCs w:val="24"/>
        </w:rPr>
        <w:t xml:space="preserve">.00</w:t>
      </w:r>
      <w:r>
        <w:rPr>
          <w:rFonts w:ascii="Arial" w:hAnsi="Arial" w:cs="Arial"/>
          <w:b/>
          <w:bCs/>
          <w:sz w:val="24"/>
          <w:szCs w:val="24"/>
        </w:rPr>
        <w:t xml:space="preserve">91</w:t>
      </w:r>
      <w:r>
        <w:rPr>
          <w:rFonts w:ascii="Arial" w:hAnsi="Arial" w:cs="Arial"/>
          <w:b/>
          <w:bCs/>
          <w:sz w:val="24"/>
          <w:szCs w:val="24"/>
        </w:rPr>
        <w:t xml:space="preserve">.</w:t>
      </w:r>
      <w:r>
        <w:rPr>
          <w:rFonts w:ascii="Arial" w:hAnsi="Arial" w:cs="Arial"/>
          <w:b/>
          <w:bCs/>
          <w:sz w:val="24"/>
          <w:szCs w:val="24"/>
        </w:rPr>
        <w:t xml:space="preserve">3058</w:t>
      </w:r>
      <w:r>
        <w:rPr>
          <w:rFonts w:ascii="Arial" w:hAnsi="Arial" w:cs="Arial"/>
          <w:b/>
          <w:bCs/>
          <w:sz w:val="24"/>
          <w:szCs w:val="24"/>
        </w:rPr>
        <w:t xml:space="preserve">   </w:t>
      </w:r>
      <w:r>
        <w:rPr>
          <w:rFonts w:ascii="Arial" w:hAnsi="Arial" w:cs="Arial"/>
          <w:b/>
          <w:bCs/>
          <w:sz w:val="24"/>
          <w:szCs w:val="24"/>
        </w:rPr>
        <w:t xml:space="preserve">3</w:t>
      </w:r>
      <w:r>
        <w:rPr>
          <w:rFonts w:ascii="Arial" w:hAnsi="Arial" w:cs="Arial"/>
          <w:b/>
          <w:bCs/>
          <w:sz w:val="24"/>
          <w:szCs w:val="24"/>
        </w:rPr>
        <w:t xml:space="preserve">.</w:t>
      </w:r>
      <w:r>
        <w:rPr>
          <w:rFonts w:ascii="Arial" w:hAnsi="Arial" w:cs="Arial"/>
          <w:b/>
          <w:bCs/>
          <w:sz w:val="24"/>
          <w:szCs w:val="24"/>
        </w:rPr>
        <w:t xml:space="preserve">3</w:t>
      </w:r>
      <w:r>
        <w:rPr>
          <w:rFonts w:ascii="Arial" w:hAnsi="Arial" w:cs="Arial"/>
          <w:b/>
          <w:bCs/>
          <w:sz w:val="24"/>
          <w:szCs w:val="24"/>
        </w:rPr>
        <w:t xml:space="preserve">.90.</w:t>
      </w:r>
      <w:r>
        <w:rPr>
          <w:rFonts w:ascii="Arial" w:hAnsi="Arial" w:cs="Arial"/>
          <w:b/>
          <w:bCs/>
          <w:sz w:val="24"/>
          <w:szCs w:val="24"/>
        </w:rPr>
        <w:t xml:space="preserve">30</w:t>
      </w:r>
      <w:r>
        <w:rPr>
          <w:rFonts w:ascii="Arial" w:hAnsi="Arial" w:cs="Arial"/>
          <w:b/>
          <w:bCs/>
          <w:sz w:val="24"/>
          <w:szCs w:val="24"/>
        </w:rPr>
        <w:t xml:space="preserve">.00.00   Fonte: </w:t>
      </w:r>
      <w:r>
        <w:rPr>
          <w:rFonts w:ascii="Arial" w:hAnsi="Arial" w:cs="Arial"/>
          <w:b/>
          <w:bCs/>
          <w:sz w:val="24"/>
          <w:szCs w:val="24"/>
        </w:rPr>
        <w:t xml:space="preserve">100</w:t>
      </w:r>
      <w:r>
        <w:rPr>
          <w:rFonts w:ascii="Arial" w:hAnsi="Arial" w:cs="Arial"/>
          <w:b/>
          <w:bCs/>
          <w:sz w:val="24"/>
          <w:szCs w:val="24"/>
        </w:rPr>
        <w:t xml:space="preserve">    Conta: </w:t>
      </w:r>
      <w:r>
        <w:rPr>
          <w:rFonts w:ascii="Arial" w:hAnsi="Arial" w:cs="Arial"/>
          <w:b/>
          <w:bCs/>
          <w:sz w:val="24"/>
          <w:szCs w:val="24"/>
        </w:rPr>
        <w:t xml:space="preserve">263</w:t>
      </w:r>
      <w:r/>
    </w:p>
    <w:p>
      <w:pPr>
        <w:pStyle w:val="853"/>
        <w:ind w:left="851"/>
        <w:jc w:val="both"/>
        <w:spacing w:before="240" w:after="240" w:line="276" w:lineRule="auto"/>
        <w:rPr>
          <w:rFonts w:ascii="Arial" w:hAnsi="Arial" w:cs="Arial"/>
          <w:b/>
          <w:bCs/>
          <w:sz w:val="24"/>
          <w:szCs w:val="24"/>
        </w:rPr>
      </w:pPr>
      <w:r>
        <w:rPr>
          <w:rFonts w:ascii="Arial" w:hAnsi="Arial" w:cs="Arial"/>
          <w:b/>
          <w:bCs/>
          <w:sz w:val="24"/>
          <w:szCs w:val="24"/>
        </w:rPr>
        <w:t xml:space="preserve">0</w:t>
      </w:r>
      <w:r>
        <w:rPr>
          <w:rFonts w:ascii="Arial" w:hAnsi="Arial" w:cs="Arial"/>
          <w:b/>
          <w:bCs/>
          <w:sz w:val="24"/>
          <w:szCs w:val="24"/>
        </w:rPr>
        <w:t xml:space="preserve">2</w:t>
      </w:r>
      <w:r>
        <w:rPr>
          <w:rFonts w:ascii="Arial" w:hAnsi="Arial" w:cs="Arial"/>
          <w:b/>
          <w:bCs/>
          <w:sz w:val="24"/>
          <w:szCs w:val="24"/>
        </w:rPr>
        <w:t xml:space="preserve">.0</w:t>
      </w:r>
      <w:r>
        <w:rPr>
          <w:rFonts w:ascii="Arial" w:hAnsi="Arial" w:cs="Arial"/>
          <w:b/>
          <w:bCs/>
          <w:sz w:val="24"/>
          <w:szCs w:val="24"/>
        </w:rPr>
        <w:t xml:space="preserve">12</w:t>
      </w:r>
      <w:r>
        <w:rPr>
          <w:rFonts w:ascii="Arial" w:hAnsi="Arial" w:cs="Arial"/>
          <w:b/>
          <w:bCs/>
          <w:sz w:val="24"/>
          <w:szCs w:val="24"/>
        </w:rPr>
        <w:t xml:space="preserve">.</w:t>
      </w:r>
      <w:r>
        <w:rPr>
          <w:rFonts w:ascii="Arial" w:hAnsi="Arial" w:cs="Arial"/>
          <w:b/>
          <w:bCs/>
          <w:sz w:val="24"/>
          <w:szCs w:val="24"/>
        </w:rPr>
        <w:t xml:space="preserve">10</w:t>
      </w:r>
      <w:r>
        <w:rPr>
          <w:rFonts w:ascii="Arial" w:hAnsi="Arial" w:cs="Arial"/>
          <w:b/>
          <w:bCs/>
          <w:sz w:val="24"/>
          <w:szCs w:val="24"/>
        </w:rPr>
        <w:t xml:space="preserve">.</w:t>
      </w:r>
      <w:r>
        <w:rPr>
          <w:rFonts w:ascii="Arial" w:hAnsi="Arial" w:cs="Arial"/>
          <w:b/>
          <w:bCs/>
          <w:sz w:val="24"/>
          <w:szCs w:val="24"/>
        </w:rPr>
        <w:t xml:space="preserve">122</w:t>
      </w:r>
      <w:r>
        <w:rPr>
          <w:rFonts w:ascii="Arial" w:hAnsi="Arial" w:cs="Arial"/>
          <w:b/>
          <w:bCs/>
          <w:sz w:val="24"/>
          <w:szCs w:val="24"/>
        </w:rPr>
        <w:t xml:space="preserve">.00</w:t>
      </w:r>
      <w:r>
        <w:rPr>
          <w:rFonts w:ascii="Arial" w:hAnsi="Arial" w:cs="Arial"/>
          <w:b/>
          <w:bCs/>
          <w:sz w:val="24"/>
          <w:szCs w:val="24"/>
        </w:rPr>
        <w:t xml:space="preserve">93</w:t>
      </w:r>
      <w:r>
        <w:rPr>
          <w:rFonts w:ascii="Arial" w:hAnsi="Arial" w:cs="Arial"/>
          <w:b/>
          <w:bCs/>
          <w:sz w:val="24"/>
          <w:szCs w:val="24"/>
        </w:rPr>
        <w:t xml:space="preserve">.2</w:t>
      </w:r>
      <w:r>
        <w:rPr>
          <w:rFonts w:ascii="Arial" w:hAnsi="Arial" w:cs="Arial"/>
          <w:b/>
          <w:bCs/>
          <w:sz w:val="24"/>
          <w:szCs w:val="24"/>
        </w:rPr>
        <w:t xml:space="preserve">269</w:t>
      </w:r>
      <w:r>
        <w:rPr>
          <w:rFonts w:ascii="Arial" w:hAnsi="Arial" w:cs="Arial"/>
          <w:b/>
          <w:bCs/>
          <w:sz w:val="24"/>
          <w:szCs w:val="24"/>
        </w:rPr>
        <w:t xml:space="preserve">   </w:t>
      </w:r>
      <w:r>
        <w:rPr>
          <w:rFonts w:ascii="Arial" w:hAnsi="Arial" w:cs="Arial"/>
          <w:b/>
          <w:bCs/>
          <w:sz w:val="24"/>
          <w:szCs w:val="24"/>
        </w:rPr>
        <w:t xml:space="preserve">3</w:t>
      </w:r>
      <w:r>
        <w:rPr>
          <w:rFonts w:ascii="Arial" w:hAnsi="Arial" w:cs="Arial"/>
          <w:b/>
          <w:bCs/>
          <w:sz w:val="24"/>
          <w:szCs w:val="24"/>
        </w:rPr>
        <w:t xml:space="preserve">.</w:t>
      </w:r>
      <w:r>
        <w:rPr>
          <w:rFonts w:ascii="Arial" w:hAnsi="Arial" w:cs="Arial"/>
          <w:b/>
          <w:bCs/>
          <w:sz w:val="24"/>
          <w:szCs w:val="24"/>
        </w:rPr>
        <w:t xml:space="preserve">3</w:t>
      </w:r>
      <w:r>
        <w:rPr>
          <w:rFonts w:ascii="Arial" w:hAnsi="Arial" w:cs="Arial"/>
          <w:b/>
          <w:bCs/>
          <w:sz w:val="24"/>
          <w:szCs w:val="24"/>
        </w:rPr>
        <w:t xml:space="preserve">.90.</w:t>
      </w:r>
      <w:r>
        <w:rPr>
          <w:rFonts w:ascii="Arial" w:hAnsi="Arial" w:cs="Arial"/>
          <w:b/>
          <w:bCs/>
          <w:sz w:val="24"/>
          <w:szCs w:val="24"/>
        </w:rPr>
        <w:t xml:space="preserve">30</w:t>
      </w:r>
      <w:r>
        <w:rPr>
          <w:rFonts w:ascii="Arial" w:hAnsi="Arial" w:cs="Arial"/>
          <w:b/>
          <w:bCs/>
          <w:sz w:val="24"/>
          <w:szCs w:val="24"/>
        </w:rPr>
        <w:t xml:space="preserve">.00.00   Fonte: </w:t>
      </w:r>
      <w:r>
        <w:rPr>
          <w:rFonts w:ascii="Arial" w:hAnsi="Arial" w:cs="Arial"/>
          <w:b/>
          <w:bCs/>
          <w:sz w:val="24"/>
          <w:szCs w:val="24"/>
        </w:rPr>
        <w:t xml:space="preserve">360</w:t>
      </w:r>
      <w:r>
        <w:rPr>
          <w:rFonts w:ascii="Arial" w:hAnsi="Arial" w:cs="Arial"/>
          <w:b/>
          <w:bCs/>
          <w:sz w:val="24"/>
          <w:szCs w:val="24"/>
        </w:rPr>
        <w:t xml:space="preserve">    Conta: </w:t>
      </w:r>
      <w:r>
        <w:rPr>
          <w:rFonts w:ascii="Arial" w:hAnsi="Arial" w:cs="Arial"/>
          <w:b/>
          <w:bCs/>
          <w:sz w:val="24"/>
          <w:szCs w:val="24"/>
        </w:rPr>
        <w:t xml:space="preserve">88</w:t>
      </w:r>
      <w:r/>
    </w:p>
    <w:p>
      <w:pPr>
        <w:pStyle w:val="856"/>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DO CREDENCIAMENTO:</w:t>
      </w:r>
      <w:r/>
    </w:p>
    <w:p>
      <w:pPr>
        <w:pStyle w:val="853"/>
        <w:numPr>
          <w:ilvl w:val="1"/>
          <w:numId w:val="1"/>
        </w:numPr>
        <w:ind w:left="851" w:right="49" w:hanging="567"/>
        <w:jc w:val="both"/>
        <w:spacing w:after="200" w:line="276" w:lineRule="auto"/>
        <w:tabs>
          <w:tab w:val="left" w:pos="851" w:leader="none"/>
        </w:tabs>
        <w:rPr>
          <w:rFonts w:ascii="Arial" w:hAnsi="Arial" w:cs="Arial"/>
          <w:color w:val="000000"/>
          <w:sz w:val="24"/>
          <w:szCs w:val="24"/>
        </w:rPr>
      </w:pPr>
      <w:r>
        <w:rPr>
          <w:rFonts w:ascii="Arial" w:hAnsi="Arial" w:cs="Arial"/>
          <w:bCs/>
          <w:iCs/>
          <w:color w:val="000000"/>
          <w:sz w:val="24"/>
          <w:szCs w:val="24"/>
        </w:rPr>
        <w:t xml:space="preserve">O Credenciamento é o nível básico do registro cadastral no </w:t>
      </w:r>
      <w:r>
        <w:rPr>
          <w:rFonts w:ascii="Arial" w:hAnsi="Arial" w:cs="Arial"/>
          <w:bCs/>
          <w:iCs/>
          <w:color w:val="000000"/>
          <w:sz w:val="24"/>
          <w:szCs w:val="24"/>
        </w:rPr>
        <w:t xml:space="preserve">SICAF</w:t>
      </w:r>
      <w:r>
        <w:rPr>
          <w:rFonts w:ascii="Arial" w:hAnsi="Arial" w:cs="Arial"/>
          <w:bCs/>
          <w:iCs/>
          <w:color w:val="000000"/>
          <w:sz w:val="24"/>
          <w:szCs w:val="24"/>
        </w:rPr>
        <w:t xml:space="preserve">, que permite a participação dos interessados na modalidade licitatória Pregão, em sua forma eletrônica.</w:t>
      </w:r>
      <w:r>
        <w:rPr>
          <w:rFonts w:ascii="Arial" w:hAnsi="Arial" w:cs="Arial"/>
          <w:color w:val="000000"/>
          <w:sz w:val="24"/>
          <w:szCs w:val="24"/>
        </w:rPr>
        <w:t xml:space="preserve"> </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cadastro no </w:t>
      </w:r>
      <w:r>
        <w:rPr>
          <w:rFonts w:ascii="Arial" w:hAnsi="Arial" w:cs="Arial"/>
          <w:bCs/>
          <w:iCs/>
          <w:color w:val="000000"/>
          <w:sz w:val="24"/>
          <w:szCs w:val="24"/>
        </w:rPr>
        <w:t xml:space="preserve">SICAF</w:t>
      </w:r>
      <w:r>
        <w:rPr>
          <w:rFonts w:ascii="Arial" w:hAnsi="Arial" w:cs="Arial"/>
          <w:bCs/>
          <w:iCs/>
          <w:color w:val="000000"/>
          <w:sz w:val="24"/>
          <w:szCs w:val="24"/>
        </w:rPr>
        <w:t xml:space="preserve"> deverá ser feito no Portal de Compras do Governo Federal, no sítio </w:t>
      </w:r>
      <w:hyperlink r:id="rId15" w:tooltip="https://www.comprasgovernamentais.gov.br/index.php/sicaf" w:history="1">
        <w:r>
          <w:rPr>
            <w:rStyle w:val="854"/>
            <w:rFonts w:ascii="Arial" w:hAnsi="Arial" w:cs="Arial"/>
            <w:sz w:val="24"/>
            <w:szCs w:val="24"/>
          </w:rPr>
          <w:t xml:space="preserve">https://www.comprasgovernamentais.gov.br/index.php/sicaf</w:t>
        </w:r>
      </w:hyperlink>
      <w:r>
        <w:rPr>
          <w:rFonts w:ascii="Arial" w:hAnsi="Arial" w:cs="Arial"/>
          <w:color w:val="000000"/>
          <w:sz w:val="24"/>
          <w:szCs w:val="24"/>
        </w:rPr>
        <w:t xml:space="preserve">, </w:t>
      </w:r>
      <w:r>
        <w:rPr>
          <w:rFonts w:ascii="Arial" w:hAnsi="Arial" w:cs="Arial"/>
          <w:bCs/>
          <w:iCs/>
          <w:color w:val="000000"/>
          <w:sz w:val="24"/>
          <w:szCs w:val="24"/>
        </w:rPr>
        <w:t xml:space="preserve">por meio de certificado digital conferido pela Infraestrutura de Chaves Públicas Brasileira – ICP - Brasil.</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responsabiliza-se exclusiva e formalmente pelas transações efetuadas em seu nome, assume como firmes e verdadeiras suas propostas e seus lances, inclusiv</w:t>
      </w:r>
      <w:r>
        <w:rPr>
          <w:rFonts w:ascii="Arial" w:hAnsi="Arial" w:cs="Arial"/>
          <w:bCs/>
          <w:iCs/>
          <w:color w:val="000000"/>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É de responsabilidade do cadastrado conferir a exatidão dos seus dados cadastrais no </w:t>
      </w:r>
      <w:r>
        <w:rPr>
          <w:rFonts w:ascii="Arial" w:hAnsi="Arial" w:cs="Arial"/>
          <w:bCs/>
          <w:iCs/>
          <w:color w:val="000000"/>
          <w:sz w:val="24"/>
          <w:szCs w:val="24"/>
        </w:rPr>
        <w:t xml:space="preserve">SICAF</w:t>
      </w:r>
      <w:r>
        <w:rPr>
          <w:rFonts w:ascii="Arial" w:hAnsi="Arial" w:cs="Arial"/>
          <w:bCs/>
          <w:iCs/>
          <w:color w:val="000000"/>
          <w:sz w:val="24"/>
          <w:szCs w:val="24"/>
        </w:rPr>
        <w:t xml:space="preserve">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não observância do disposto no subitem anterior poderá ensejar desclassificação no momento da habilitação.</w:t>
      </w:r>
      <w:r/>
    </w:p>
    <w:p>
      <w:pPr>
        <w:pStyle w:val="856"/>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PARTICIPAÇÃO NO PREGÃO:</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Poderão participar deste Pregão interessados cujo ramo de atividade seja compatível com o objeto desta licitação, e que estejam com Credenciamento regular no Sistema de Cadastramento Unificado de Fornecedores – </w:t>
      </w:r>
      <w:r>
        <w:rPr>
          <w:rFonts w:ascii="Arial" w:hAnsi="Arial" w:cs="Arial"/>
          <w:bCs/>
          <w:iCs/>
          <w:color w:val="000000"/>
          <w:sz w:val="24"/>
          <w:szCs w:val="24"/>
        </w:rPr>
        <w:t xml:space="preserve">SICAF</w:t>
      </w:r>
      <w:r>
        <w:rPr>
          <w:rFonts w:ascii="Arial" w:hAnsi="Arial" w:cs="Arial"/>
          <w:bCs/>
          <w:iCs/>
          <w:color w:val="000000"/>
          <w:sz w:val="24"/>
          <w:szCs w:val="24"/>
        </w:rPr>
        <w:t xml:space="preserve">, conforme disposto no art. 9º da IN SEGES/MP nº 3, de 2018.</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Os licitantes deverão utilizar o certificado digital para acesso ao sistema.</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concedido tratamento favorecido para as microempresa</w:t>
      </w:r>
      <w:r>
        <w:rPr>
          <w:rFonts w:ascii="Arial" w:hAnsi="Arial" w:cs="Arial"/>
          <w:bCs/>
          <w:iCs/>
          <w:color w:val="000000"/>
          <w:sz w:val="24"/>
          <w:szCs w:val="24"/>
        </w:rPr>
        <w:t xml:space="preserve">s e empresas de pequeno porte, para as sociedades cooperativas mencionadas no artigo 34 da Lei nº 11.488, de 2007, para o agricultor familiar, o produtor rural pessoa física e para o microempreendedor individual - MEI, bem como o Empresário Individual e o </w:t>
      </w:r>
      <w:r>
        <w:rPr>
          <w:rFonts w:ascii="Arial" w:hAnsi="Arial" w:cs="Arial"/>
          <w:bCs/>
          <w:iCs/>
          <w:color w:val="000000"/>
          <w:sz w:val="24"/>
          <w:szCs w:val="24"/>
        </w:rPr>
        <w:t xml:space="preserve">EIRELI</w:t>
      </w:r>
      <w:r>
        <w:rPr>
          <w:rFonts w:ascii="Arial" w:hAnsi="Arial" w:cs="Arial"/>
          <w:bCs/>
          <w:iCs/>
          <w:color w:val="000000"/>
          <w:sz w:val="24"/>
          <w:szCs w:val="24"/>
        </w:rPr>
        <w:t xml:space="preserve">, nos limites previstos da Lei Complementar nº 123, de </w:t>
      </w:r>
      <w:r>
        <w:rPr>
          <w:rFonts w:ascii="Arial" w:hAnsi="Arial" w:cs="Arial"/>
          <w:bCs/>
          <w:iCs/>
          <w:color w:val="000000"/>
          <w:sz w:val="24"/>
          <w:szCs w:val="24"/>
        </w:rPr>
        <w:t xml:space="preserve">2006, desde que se declarem no campo adequado do sistema de pregão eletrônico estarem enquadrados na condição de pequenos negócios previstos na Lei Complementar nº 123, de 2006.</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Não poderão participar desta licitação os interessados: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Proibidos de participar de licitações e celebrar contratos administrativos, na forma da legislação vigente.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atendam às condições deste edital e seu(s) anexo(s).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Estrangeiros que não tenham representação legal no brasil com poderes expressos para receber citação e responder administrativa ou judicialmente.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se enquadrem nas vedações previstas no artigo 9º da lei nº 8.666, de 1993.</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estejam sob falência, concurso de credores, concordata ou em processo de dissolução ou liquidação.</w:t>
      </w:r>
      <w:r/>
    </w:p>
    <w:p>
      <w:pPr>
        <w:pStyle w:val="856"/>
        <w:numPr>
          <w:ilvl w:val="3"/>
          <w:numId w:val="1"/>
        </w:numPr>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Não será causa de inabilitação do</w:t>
      </w:r>
      <w:r>
        <w:rPr>
          <w:rFonts w:ascii="Arial" w:hAnsi="Arial" w:eastAsia="Zurich BT" w:cs="Arial"/>
          <w:bCs/>
          <w:color w:val="000000"/>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Entidades empresariais que estejam reunidas em </w:t>
      </w:r>
      <w:r>
        <w:rPr>
          <w:rFonts w:ascii="Arial" w:hAnsi="Arial" w:cs="Arial"/>
          <w:color w:val="000000"/>
          <w:sz w:val="24"/>
          <w:szCs w:val="24"/>
        </w:rPr>
        <w:t xml:space="preserve">consórcio, visto que tal conduta não limitará a competitividade, pois o objeto do presente procedimento licitatório se trata de atividade com ampla competitividade de mercado, existindo diversas empresas do ramo que conseguem fornecer o objeto pretendido p</w:t>
      </w:r>
      <w:r>
        <w:rPr>
          <w:rFonts w:ascii="Arial" w:hAnsi="Arial" w:cs="Arial"/>
          <w:color w:val="000000"/>
          <w:sz w:val="24"/>
          <w:szCs w:val="24"/>
        </w:rPr>
        <w:t xml:space="preserve">ela Secretaria Municipal de Saúde</w:t>
      </w:r>
      <w:r>
        <w:rPr>
          <w:rFonts w:ascii="Arial" w:hAnsi="Arial" w:cs="Arial"/>
          <w:color w:val="000000"/>
          <w:sz w:val="24"/>
          <w:szCs w:val="24"/>
        </w:rPr>
        <w:t xml:space="preserve">, neste certame, sem a necessidade de se constituírem em consórcios.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Nos</w:t>
      </w:r>
      <w:r>
        <w:rPr>
          <w:rFonts w:ascii="Arial" w:hAnsi="Arial" w:cs="Arial"/>
          <w:color w:val="000000"/>
          <w:sz w:val="24"/>
          <w:szCs w:val="24"/>
        </w:rPr>
        <w:t xml:space="preserve"> termos do art. 5º do Decreto nº 9.507, de 2018, é vedada a contratação de pessoa jurídica na qual haja administrador ou sócio com poder de direção, familiar de:</w:t>
      </w:r>
      <w:r/>
    </w:p>
    <w:p>
      <w:pPr>
        <w:pStyle w:val="856"/>
        <w:numPr>
          <w:ilvl w:val="3"/>
          <w:numId w:val="1"/>
        </w:numPr>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detentor de cargo em comissão ou função de confiança que atue na área responsável pela demanda ou contratação; ou</w:t>
      </w:r>
      <w:r/>
    </w:p>
    <w:p>
      <w:pPr>
        <w:pStyle w:val="856"/>
        <w:numPr>
          <w:ilvl w:val="3"/>
          <w:numId w:val="1"/>
        </w:numPr>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de autoridade hierarquicamente superior no âmbito do órgão contratante.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Para os fins do disposto neste item, considera-se familiar o cônjuge, o companheiro ou o parente em linha reta ou colateral, por consanguinidade ou afinidade, até o terceiro grau (Súmula </w:t>
      </w:r>
      <w:r>
        <w:rPr>
          <w:rFonts w:ascii="Arial" w:hAnsi="Arial" w:cs="Arial"/>
          <w:color w:val="000000"/>
          <w:sz w:val="24"/>
          <w:szCs w:val="24"/>
        </w:rPr>
        <w:t xml:space="preserve">Vinculante/STF nº 13, art. 5º, inciso V, da Lei nº 12.813, de 16 de maio de 2013 e art. 2º, inciso III, do Decreto n.º 7.203, de 04 de junho de 2010). </w:t>
      </w:r>
      <w:r/>
    </w:p>
    <w:p>
      <w:pPr>
        <w:numPr>
          <w:ilvl w:val="2"/>
          <w:numId w:val="1"/>
        </w:numPr>
        <w:ind w:left="1560"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será permitida a participação de mais de uma empresa sob o controle acionário de um mesmo grupo de pessoas físicas ou jurídicas para o mesmo item.</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Como condição para participação no Pregão, a licitante assinalará “sim” ou “não” em campo próprio do sistema eletrônico, relativo às seguintes declarações: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cumpre os requisitos estabelecidos no artigo 3° </w:t>
      </w:r>
      <w:r>
        <w:rPr>
          <w:rFonts w:ascii="Arial" w:hAnsi="Arial" w:cs="Arial"/>
          <w:color w:val="000000"/>
          <w:sz w:val="24"/>
          <w:szCs w:val="24"/>
        </w:rPr>
        <w:t xml:space="preserve">da Lei Complementar nº 123, de 2006, estando apta a usufruir do tratamento favorecido estabelecido em seus </w:t>
      </w:r>
      <w:r>
        <w:rPr>
          <w:rFonts w:ascii="Arial" w:hAnsi="Arial" w:cs="Arial"/>
          <w:color w:val="000000"/>
          <w:sz w:val="24"/>
          <w:szCs w:val="24"/>
        </w:rPr>
        <w:t xml:space="preserve">arts</w:t>
      </w:r>
      <w:r>
        <w:rPr>
          <w:rFonts w:ascii="Arial" w:hAnsi="Arial" w:cs="Arial"/>
          <w:color w:val="000000"/>
          <w:sz w:val="24"/>
          <w:szCs w:val="24"/>
        </w:rPr>
        <w:t xml:space="preserve">. 42 a 49; </w:t>
      </w:r>
      <w:r/>
    </w:p>
    <w:p>
      <w:pPr>
        <w:pStyle w:val="856"/>
        <w:numPr>
          <w:ilvl w:val="3"/>
          <w:numId w:val="1"/>
        </w:numPr>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Quando houver itens exclusivos para participação de microempresas e empresas de pequeno porte, a assinalação do campo “não” impedirá o prosseguimento no certame.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inexistem fatos impeditivos para sua habilitação no certame, ciente da obrigatoriedade de declarar ocorrências posteriores.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emprega menor de 18 (dezoito) anos em trabalho noturno, perigoso ou insalubre e não emprega menor de 16 (dezesseis) anos, salvo menor, a partir de 14 (quatorze) anos, na condição de aprendiz, nos termos do artigo 7°, </w:t>
      </w:r>
      <w:r>
        <w:rPr>
          <w:rFonts w:ascii="Arial" w:hAnsi="Arial" w:cs="Arial"/>
          <w:color w:val="000000"/>
          <w:sz w:val="24"/>
          <w:szCs w:val="24"/>
        </w:rPr>
        <w:t xml:space="preserve">XXXIII</w:t>
      </w:r>
      <w:r>
        <w:rPr>
          <w:rFonts w:ascii="Arial" w:hAnsi="Arial" w:cs="Arial"/>
          <w:color w:val="000000"/>
          <w:sz w:val="24"/>
          <w:szCs w:val="24"/>
        </w:rPr>
        <w:t xml:space="preserve">, da Constituição.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a proposta foi elaborada de forma independente, nos termos da Instrução Normativa </w:t>
      </w:r>
      <w:r>
        <w:rPr>
          <w:rFonts w:ascii="Arial" w:hAnsi="Arial" w:cs="Arial"/>
          <w:color w:val="000000"/>
          <w:sz w:val="24"/>
          <w:szCs w:val="24"/>
        </w:rPr>
        <w:t xml:space="preserve">SLTI</w:t>
      </w:r>
      <w:r>
        <w:rPr>
          <w:rFonts w:ascii="Arial" w:hAnsi="Arial" w:cs="Arial"/>
          <w:color w:val="000000"/>
          <w:sz w:val="24"/>
          <w:szCs w:val="24"/>
        </w:rPr>
        <w:t xml:space="preserve">/MP nº 2, de 16 de setembro de 2009.</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possui, em sua cadeia produtiva, empregados executando trabalho degradante ou forçado, observando o disposto nos incisos III e IV do art. 1º e no inciso III do art. 5º da Constituição Federal.</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os serviços são prestados por empresas que comprovem</w:t>
      </w:r>
      <w:r>
        <w:rPr>
          <w:rFonts w:ascii="Arial" w:hAnsi="Arial" w:cs="Arial"/>
          <w:color w:val="000000"/>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declaração falsa relativa ao cumprimento de qualquer condição sujeitará o licitante às sanções previstas em lei e neste Edital.</w:t>
      </w:r>
      <w:r/>
    </w:p>
    <w:p>
      <w:pPr>
        <w:pStyle w:val="856"/>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APRESENTAÇÃO DA PROPOSTA E DOS DOCUMENTOS DE </w:t>
      </w:r>
      <w:r>
        <w:rPr>
          <w:rFonts w:ascii="Arial" w:hAnsi="Arial" w:cs="Arial"/>
          <w:b/>
          <w:iCs/>
          <w:color w:val="000000"/>
          <w:sz w:val="24"/>
          <w:szCs w:val="24"/>
        </w:rPr>
        <w:t xml:space="preserve">HABILITAÇÃO:</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deverão encaminhar, exclusivamente por meio do sistema, concomitanteme</w:t>
      </w:r>
      <w:r>
        <w:rPr>
          <w:rFonts w:ascii="Arial" w:hAnsi="Arial" w:cs="Arial"/>
          <w:bCs/>
          <w:iCs/>
          <w:color w:val="000000"/>
          <w:sz w:val="24"/>
          <w:szCs w:val="24"/>
        </w:rPr>
        <w:t xml:space="preserve">nte com os documentos de habilitação exigidos no presente Edital, proposta com a descrição do objeto ofertado e o preço, até a data e horário marcados para abertura da sessão, quando, então, encerrar-se-á automaticamente a fase de recebimento de propostas.</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envio da proposta, acompanhada dos documentos de habilitação exigidos neste Edital, ocorrerá por meio de chave de acesso e senha.</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poderão deixar de apresentar os documentos de habilitação que constem do </w:t>
      </w:r>
      <w:r>
        <w:rPr>
          <w:rFonts w:ascii="Arial" w:hAnsi="Arial" w:cs="Arial"/>
          <w:bCs/>
          <w:iCs/>
          <w:color w:val="000000"/>
          <w:sz w:val="24"/>
          <w:szCs w:val="24"/>
        </w:rPr>
        <w:t xml:space="preserve">SICAF</w:t>
      </w:r>
      <w:r>
        <w:rPr>
          <w:rFonts w:ascii="Arial" w:hAnsi="Arial" w:cs="Arial"/>
          <w:bCs/>
          <w:iCs/>
          <w:color w:val="000000"/>
          <w:sz w:val="24"/>
          <w:szCs w:val="24"/>
        </w:rPr>
        <w:t xml:space="preserve">, assegurado aos demais licitantes o direito de acesso aos dados constantes dos sistemas.</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será responsável por todas as transações que forem efetuadas em seu nome no sistema eletrônico, assumindo como firmes e verdadeiras suas propostas e lances. </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Inc</w:t>
      </w:r>
      <w:r>
        <w:rPr>
          <w:rFonts w:ascii="Arial" w:hAnsi="Arial" w:cs="Arial"/>
          <w:bCs/>
          <w:iCs/>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Até a abertura da sessão pública, os licitantes poderão retirar ou substituir a proposta e os documentos de habilitação anteriormente inseridos no sistema.</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pStyle w:val="856"/>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 PREENCHIMENTO DA PROPOSTA</w:t>
      </w:r>
      <w:r>
        <w:rPr>
          <w:rFonts w:ascii="Arial" w:hAnsi="Arial" w:cs="Arial"/>
          <w:b/>
          <w:iCs/>
          <w:color w:val="000000"/>
          <w:sz w:val="24"/>
          <w:szCs w:val="24"/>
        </w:rPr>
        <w:t xml:space="preserve">:</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deverá enviar sua proposta mediante o preenchimento, no sistema eletrônico, dos seguintes campos: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Valor unitário e total do item, em moeda nacional (Real), </w:t>
      </w:r>
      <w:r>
        <w:rPr>
          <w:rFonts w:ascii="Arial" w:hAnsi="Arial" w:cs="Arial"/>
          <w:b/>
          <w:bCs/>
          <w:color w:val="000000"/>
          <w:sz w:val="24"/>
          <w:szCs w:val="24"/>
        </w:rPr>
        <w:t xml:space="preserve">com no máximo duas casas decimais.</w:t>
      </w:r>
      <w:r>
        <w:rPr>
          <w:rFonts w:ascii="Arial" w:hAnsi="Arial" w:cs="Arial"/>
          <w:color w:val="000000"/>
          <w:sz w:val="24"/>
          <w:szCs w:val="24"/>
        </w:rPr>
        <w:t xml:space="preserve">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Descrição detalhada do objeto, contendo as informações contidas de acordo com especificação do Termo de Referência, conforme Anexo I deste Edital. </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Todas as especificações do objeto contidas na proposta vinculam a Contratada.</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preços ofertados, tanto na proposta inicial, quanto na etapa de lances, serão de exclusiva responsabilidade do licitante, não lhe assistindo qualquer alteração, sob alegação de erro, omissão ou qualquer pretexto, salvo por autorização do Pregoeiro.</w:t>
      </w:r>
      <w:r/>
    </w:p>
    <w:p>
      <w:pPr>
        <w:pStyle w:val="853"/>
        <w:numPr>
          <w:ilvl w:val="1"/>
          <w:numId w:val="1"/>
        </w:numPr>
        <w:ind w:left="851" w:right="49" w:hanging="567"/>
        <w:jc w:val="both"/>
        <w:spacing w:after="200" w:line="276" w:lineRule="auto"/>
        <w:tabs>
          <w:tab w:val="left" w:pos="851" w:leader="none"/>
        </w:tabs>
        <w:rPr>
          <w:rFonts w:ascii="Arial" w:hAnsi="Arial" w:cs="Arial"/>
          <w:b/>
          <w:iCs/>
          <w:color w:val="000000"/>
          <w:sz w:val="24"/>
          <w:szCs w:val="24"/>
        </w:rPr>
      </w:pPr>
      <w:r>
        <w:rPr>
          <w:rFonts w:ascii="Arial" w:hAnsi="Arial" w:cs="Arial"/>
          <w:b/>
          <w:iCs/>
          <w:color w:val="000000"/>
          <w:sz w:val="24"/>
          <w:szCs w:val="24"/>
        </w:rPr>
        <w:t xml:space="preserve">O prazo de validade da proposta não será inferior a 90 (noventa) dias, a contar da data de sua apresentação. </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devem respeitar os preços máximos estabelecidos nas normas de regência de contratações públicas federais, quando participarem de licitações públicas.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supramencion</w:t>
      </w:r>
      <w:r>
        <w:rPr>
          <w:rFonts w:ascii="Arial" w:hAnsi="Arial" w:cs="Arial"/>
          <w:color w:val="000000"/>
          <w:sz w:val="24"/>
          <w:szCs w:val="24"/>
        </w:rPr>
        <w:t xml:space="preserve">adas pela Administração por parte dos contratados pode ensejar a fiscalização do Tribunal de Contas da União e, após o devido processo legal, gerar as seguintes consequências: assinatura de prazo para a adoção das medidas necessárias ao exato cumprimento d</w:t>
      </w:r>
      <w:r>
        <w:rPr>
          <w:rFonts w:ascii="Arial" w:hAnsi="Arial" w:cs="Arial"/>
          <w:color w:val="000000"/>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856"/>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ABERTURA DA SESSÃO, CLASSIFICAÇÃO DAS PROPOSTAS E FORMULAÇÃO DE LANCES</w:t>
      </w:r>
      <w:r>
        <w:rPr>
          <w:rFonts w:ascii="Arial" w:hAnsi="Arial" w:cs="Arial"/>
          <w:b/>
          <w:iCs/>
          <w:color w:val="000000"/>
          <w:sz w:val="24"/>
          <w:szCs w:val="24"/>
        </w:rPr>
        <w:t xml:space="preserve">:</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abertura da presente licitação dar-se-á em sessão pública, por meio de sistema eletrônico, na data, horário e local indicados neste Edital.</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p</w:t>
      </w:r>
      <w:r>
        <w:rPr>
          <w:rFonts w:ascii="Arial" w:hAnsi="Arial" w:cs="Arial"/>
          <w:bCs/>
          <w:iCs/>
          <w:color w:val="000000"/>
          <w:sz w:val="24"/>
          <w:szCs w:val="24"/>
        </w:rPr>
        <w:t xml:space="preserve">regoeiro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Também será desclassificada a proposta cadastrada no sistema que identifique o licitante.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sistema ordenará automaticamente as propostas classificadas, sendo que somente estas participarão da fase de lances.</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sistema disponibilizará campo próprio para troca de mensagens entre o pregoeiro e os licitantes.</w:t>
      </w:r>
      <w:r/>
    </w:p>
    <w:p>
      <w:pPr>
        <w:numPr>
          <w:ilvl w:val="2"/>
          <w:numId w:val="1"/>
        </w:numPr>
        <w:ind w:left="1560" w:right="49" w:hanging="709"/>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Quando demandado pelo chat, o licitante terá o prazo de 10 (dez) minutos para responder as solicitações realizadas pelo Pregoeiro.</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numPr>
          <w:ilvl w:val="2"/>
          <w:numId w:val="1"/>
        </w:numPr>
        <w:ind w:left="1560" w:right="49" w:hanging="709"/>
        <w:jc w:val="both"/>
        <w:spacing w:after="120" w:line="276" w:lineRule="auto"/>
        <w:rPr>
          <w:rFonts w:ascii="Arial" w:hAnsi="Arial" w:cs="Arial"/>
          <w:bCs/>
          <w:iCs/>
          <w:color w:val="000000"/>
          <w:sz w:val="24"/>
          <w:szCs w:val="24"/>
        </w:rPr>
      </w:pPr>
      <w:r>
        <w:rPr>
          <w:rFonts w:ascii="Arial" w:hAnsi="Arial" w:cs="Arial"/>
          <w:bCs/>
          <w:iCs/>
          <w:color w:val="000000"/>
          <w:sz w:val="24"/>
          <w:szCs w:val="24"/>
        </w:rPr>
        <w:t xml:space="preserve">O lance deverá ser ofertado pelo valor total do item.</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poderão oferecer lances sucessivos, observando o horário fixado para abertura da sessão e as regras estabelecidas no Edital.</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somente poderá oferecer lance inferior ao último por ele ofertado e registrado pelo sistema.</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adotado para o envio de lances no pregão eletrônico o modo de disputa </w:t>
      </w:r>
      <w:r>
        <w:rPr>
          <w:rFonts w:ascii="Arial" w:hAnsi="Arial" w:cs="Arial"/>
          <w:b/>
          <w:iCs/>
          <w:color w:val="000000"/>
          <w:sz w:val="24"/>
          <w:szCs w:val="24"/>
        </w:rPr>
        <w:t xml:space="preserve">“aberto e fechado”,</w:t>
      </w:r>
      <w:r>
        <w:rPr>
          <w:rFonts w:ascii="Arial" w:hAnsi="Arial" w:cs="Arial"/>
          <w:bCs/>
          <w:iCs/>
          <w:color w:val="000000"/>
          <w:sz w:val="24"/>
          <w:szCs w:val="24"/>
        </w:rPr>
        <w:t xml:space="preserve"> em que os licitantes apresentarão lances públicos e sucessivos, com lance final e fechado. </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etapa de lances da sessão pública terá duração inicial</w:t>
      </w:r>
      <w:r>
        <w:rPr>
          <w:rFonts w:ascii="Arial" w:hAnsi="Arial" w:cs="Arial"/>
          <w:bCs/>
          <w:iCs/>
          <w:color w:val="000000"/>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Encerrado o prazo previsto no item anterio</w:t>
      </w:r>
      <w:r>
        <w:rPr>
          <w:rFonts w:ascii="Arial" w:hAnsi="Arial" w:cs="Arial"/>
          <w:bCs/>
          <w:iCs/>
          <w:color w:val="000000"/>
          <w:sz w:val="24"/>
          <w:szCs w:val="24"/>
        </w:rPr>
        <w:t xml:space="preserve">r, o sistema abrirá oportunidade para que o autor da oferta de valor mais baixo e os das ofertas com preços até dez por cento superior àquela possam ofertar um lance final e fechado em até cinco minutos, o qual será sigiloso até o encerramento deste prazo.</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pelo menos trê</w:t>
      </w:r>
      <w:r>
        <w:rPr>
          <w:rFonts w:ascii="Arial" w:hAnsi="Arial" w:cs="Arial"/>
          <w:color w:val="000000"/>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iCs/>
          <w:sz w:val="24"/>
          <w:szCs w:val="24"/>
        </w:rPr>
        <w:t xml:space="preserve"> </w:t>
      </w:r>
      <w:r>
        <w:rPr>
          <w:rFonts w:ascii="Arial" w:hAnsi="Arial" w:cs="Arial"/>
          <w:bCs/>
          <w:iCs/>
          <w:color w:val="000000"/>
          <w:sz w:val="24"/>
          <w:szCs w:val="24"/>
        </w:rPr>
        <w:t xml:space="preserve">Após o término dos prazos estabelecidos nos itens anteriores, o sistema ordenará os lances dez por cento superior àquela colocada em primeiro lugar.</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lance final e fechado classificado na forma estabelec</w:t>
      </w:r>
      <w:r>
        <w:rPr>
          <w:rFonts w:ascii="Arial" w:hAnsi="Arial" w:cs="Arial"/>
          <w:color w:val="000000"/>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Poderá o Pregoeiro, auxiliado pela equipe de apoio, justificadamente, admitir o reinício da etapa fechada, caso nenhum licitante classificado na etapa de lance fechado atender às exigências de habilitação.</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w:t>
      </w:r>
      <w:r>
        <w:rPr>
          <w:rFonts w:ascii="Arial" w:hAnsi="Arial" w:cs="Arial"/>
          <w:bCs/>
          <w:iCs/>
          <w:color w:val="000000"/>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Em caso de falha no sistema, os lances em desacordo com o subitem anterior deverão ser desconsiderados pelo pregoeiro, devendo a ocorrência ser comunicada imediatamente à Secretaria de Gestão do Ministério do Planejamento, Desenvolvimento e Gestão.</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 hipótese do subitem anterior, a ocorrência será registrada em campo próprio do sistema.</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Não serão aceitos dois ou mais lances de mesmo valor, prevalecendo aquele que for recebido e registrado em primeiro lugar. </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Durante o transcurso da sessão pública, os licitantes serão informados, em tempo real, do valor do menor lance registrado, </w:t>
      </w:r>
      <w:r>
        <w:rPr>
          <w:rFonts w:ascii="Arial" w:hAnsi="Arial" w:cs="Arial"/>
          <w:b/>
          <w:iCs/>
          <w:color w:val="000000"/>
          <w:sz w:val="24"/>
          <w:szCs w:val="24"/>
        </w:rPr>
        <w:t xml:space="preserve">vedada</w:t>
      </w:r>
      <w:r>
        <w:rPr>
          <w:rFonts w:ascii="Arial" w:hAnsi="Arial" w:cs="Arial"/>
          <w:bCs/>
          <w:iCs/>
          <w:color w:val="000000"/>
          <w:sz w:val="24"/>
          <w:szCs w:val="24"/>
        </w:rPr>
        <w:t xml:space="preserve"> a identificação do licitante. </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 caso de desconexão com o pregoeiro, no decorrer da etapa competitiva do Pregão, o sistema eletrônico poderá permanecer acessível aos licitantes para a recepção dos lances. </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Quando a desconexão do sistema eletrôni</w:t>
      </w:r>
      <w:r>
        <w:rPr>
          <w:rFonts w:ascii="Arial" w:hAnsi="Arial" w:cs="Arial"/>
          <w:bCs/>
          <w:iCs/>
          <w:color w:val="000000"/>
          <w:sz w:val="24"/>
          <w:szCs w:val="24"/>
        </w:rPr>
        <w:t xml:space="preserve">co para o pregoeiro persistir por tempo superior a dez minutos, a sessão pública será suspensa e reiniciada somente após decorridas vinte e quatro horas da comunicação do fato pelo Pregoeiro aos participantes, no sítio eletrônico utilizado para divulgação.</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Critério de julgamento adotado será o de </w:t>
      </w:r>
      <w:r>
        <w:rPr>
          <w:rFonts w:ascii="Arial" w:hAnsi="Arial" w:cs="Arial"/>
          <w:b/>
          <w:iCs/>
          <w:color w:val="000000"/>
          <w:sz w:val="24"/>
          <w:szCs w:val="24"/>
        </w:rPr>
        <w:t xml:space="preserve">menor preço</w:t>
      </w:r>
      <w:r>
        <w:rPr>
          <w:rFonts w:ascii="Arial" w:hAnsi="Arial" w:cs="Arial"/>
          <w:bCs/>
          <w:iCs/>
          <w:color w:val="000000"/>
          <w:sz w:val="24"/>
          <w:szCs w:val="24"/>
        </w:rPr>
        <w:t xml:space="preserve">,</w:t>
      </w:r>
      <w:r>
        <w:rPr>
          <w:rFonts w:ascii="Arial" w:hAnsi="Arial" w:cs="Arial"/>
          <w:bCs/>
          <w:iCs/>
          <w:color w:val="000000"/>
          <w:sz w:val="24"/>
          <w:szCs w:val="24"/>
        </w:rPr>
        <w:t xml:space="preserve"> conforme definido neste Edital e seus anexos. </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w:t>
      </w:r>
      <w:r>
        <w:rPr>
          <w:rFonts w:ascii="Arial" w:hAnsi="Arial" w:cs="Arial"/>
          <w:bCs/>
          <w:iCs/>
          <w:color w:val="000000"/>
          <w:sz w:val="24"/>
          <w:szCs w:val="24"/>
        </w:rPr>
        <w:t xml:space="preserve">ará em coluna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cs="Arial"/>
          <w:bCs/>
          <w:iCs/>
          <w:color w:val="000000"/>
          <w:sz w:val="24"/>
          <w:szCs w:val="24"/>
        </w:rPr>
        <w:t xml:space="preserve">arts</w:t>
      </w:r>
      <w:r>
        <w:rPr>
          <w:rFonts w:ascii="Arial" w:hAnsi="Arial" w:cs="Arial"/>
          <w:bCs/>
          <w:iCs/>
          <w:color w:val="000000"/>
          <w:sz w:val="24"/>
          <w:szCs w:val="24"/>
        </w:rPr>
        <w:t xml:space="preserve">. 44 e 45 da LC nº 123, de 2006, regulamentada pelo Decreto nº 8.538, de 2015 e Lei Complementar Municipal n 267, de 25/11/2019.</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melhor classificada n</w:t>
      </w:r>
      <w:r>
        <w:rPr>
          <w:rFonts w:ascii="Arial" w:hAnsi="Arial" w:cs="Arial"/>
          <w:bCs/>
          <w:iCs/>
          <w:color w:val="000000"/>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Caso a microempresa ou a empresa de pequeno porte melhor classificada desista ou não se manifeste no prazo </w:t>
      </w:r>
      <w:r>
        <w:rPr>
          <w:rFonts w:ascii="Arial" w:hAnsi="Arial" w:cs="Arial"/>
          <w:bCs/>
          <w:iCs/>
          <w:color w:val="000000"/>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 caso de equivalênci</w:t>
      </w:r>
      <w:r>
        <w:rPr>
          <w:rFonts w:ascii="Arial" w:hAnsi="Arial" w:cs="Arial"/>
          <w:bCs/>
          <w:iCs/>
          <w:color w:val="000000"/>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Havendo eventual empate entre propostas ou lances, o critério de desempate será aquele previsto no art. 3º, § 2º, da Lei nº 8.666, de 1993, assegurando-se a preferência, sucessivamente, aos bens fornecidos: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brasileiras.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que invistam em pesquisa e no desenvolvimento de tecnologia no país.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que comprovem cumprimento de reserva de cargos prevista em lei para pessoa com deficiência ou para reabilitado da previdência social e que atendam às regras de acessibilidade previstas na legislação.</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Persistindo o empate entre propostas ou lances, será aplicado o sorteio como critério de desempate. </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Apurada a proposta final classifica</w:t>
      </w:r>
      <w:r>
        <w:rPr>
          <w:rFonts w:ascii="Arial" w:hAnsi="Arial" w:cs="Arial"/>
          <w:bCs/>
          <w:iCs/>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negociação será realizada por meio do sistema, podendo ser acompanhada pelos demais licitantes.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pregoeiro solicitará ao licitante melhor classificado que, no prazo de 02 (duas)</w:t>
      </w:r>
      <w:r>
        <w:rPr>
          <w:rFonts w:ascii="Arial" w:hAnsi="Arial" w:cs="Arial"/>
          <w:color w:val="000000"/>
          <w:sz w:val="24"/>
          <w:szCs w:val="24"/>
        </w:rPr>
        <w:t xml:space="preserve"> </w:t>
      </w:r>
      <w:r>
        <w:rPr>
          <w:rFonts w:ascii="Arial" w:hAnsi="Arial" w:cs="Arial"/>
          <w:color w:val="000000"/>
          <w:sz w:val="24"/>
          <w:szCs w:val="24"/>
        </w:rPr>
        <w:t xml:space="preserve">horas, envie a proposta adequada ao último lance ofertado após a negociação realizada, acompanhada, se for o caso, dos documentos complementares, quando necessários à confirmação daqueles exigidos neste Edital e já apresentados.</w:t>
      </w:r>
      <w:r>
        <w:rPr>
          <w:rFonts w:ascii="Arial" w:hAnsi="Arial" w:cs="Arial"/>
          <w:color w:val="000000"/>
          <w:sz w:val="24"/>
          <w:szCs w:val="24"/>
        </w:rPr>
        <w:t xml:space="preserve">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Também nas hipóteses em que o Pregoeiro não aceitar a proposta e passar à subsequente, poderá negociar com o licitante para que seja obtido preço melhor.</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Após a negociação do preço, o pregoeiro iniciará a fase de aceitação e julgamento da proposta.</w:t>
      </w:r>
      <w:r/>
    </w:p>
    <w:p>
      <w:pPr>
        <w:pStyle w:val="856"/>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DAS AMOSTRAS</w:t>
      </w:r>
      <w:r>
        <w:rPr>
          <w:rFonts w:ascii="Arial" w:hAnsi="Arial" w:cs="Arial"/>
          <w:b/>
          <w:iCs/>
          <w:color w:val="000000"/>
          <w:sz w:val="24"/>
          <w:szCs w:val="24"/>
        </w:rPr>
        <w:t xml:space="preserve">:</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Não há amostras.</w:t>
      </w:r>
      <w:r/>
    </w:p>
    <w:p>
      <w:pPr>
        <w:pStyle w:val="856"/>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ACEITABILIDADE DA PROPOSTA VENCEDORA</w:t>
      </w:r>
      <w:r>
        <w:rPr>
          <w:rFonts w:ascii="Arial" w:hAnsi="Arial" w:cs="Arial"/>
          <w:b/>
          <w:iCs/>
          <w:color w:val="000000"/>
          <w:sz w:val="24"/>
          <w:szCs w:val="24"/>
        </w:rPr>
        <w:t xml:space="preserve">:</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Encerrada a etapa de negociação, o pregoeiro examinará a proposta classificada </w:t>
      </w:r>
      <w:r>
        <w:rPr>
          <w:rFonts w:ascii="Arial" w:hAnsi="Arial" w:cs="Arial"/>
          <w:bCs/>
          <w:iCs/>
          <w:color w:val="000000"/>
          <w:sz w:val="24"/>
          <w:szCs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desclassificada a proposta ou o lance vencedor com valor superior ao preço máximo fixado ou que apresentar preço manifestamente inexequível.</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Considera-se inexequível a proposta que apresente preços ou unitários simbólicos, irrisórios ou de valor zero, incompatíveis com os preços dos insumos e salários de mercado, acrescidos dos respectivos </w:t>
      </w:r>
      <w:r>
        <w:rPr>
          <w:rFonts w:ascii="Arial" w:hAnsi="Arial" w:cs="Arial"/>
          <w:color w:val="000000"/>
          <w:sz w:val="24"/>
          <w:szCs w:val="24"/>
        </w:rPr>
        <w:t xml:space="preserve">encargos, ainda que o ato convocatório da licitação não tenha estabelecido limites mínimos, exceto quando se referirem a materiais e instalações de propriedade do próprio licitante, para os quais ele renuncie a parcela ou à totalidade da remuneração.  </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Qualquer interessado poderá requerer que se realizem diligências para aferir a exequibilidade e a legalidade das propostas, devendo apresentar as provas ou os indícios que fundamentam a suspeita.</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Na hipótese de necessidade de suspensão da sessão púb</w:t>
      </w:r>
      <w:r>
        <w:rPr>
          <w:rFonts w:ascii="Arial" w:hAnsi="Arial" w:cs="Arial"/>
          <w:bCs/>
          <w:iCs/>
          <w:color w:val="000000"/>
          <w:sz w:val="24"/>
          <w:szCs w:val="24"/>
        </w:rPr>
        <w:t xml:space="preserve">lica para a realização de diligências, com vistas ao saneamento das propostas, a sessão pública somente poderá ser reiniciada mediante aviso prévio no sistema com, no mínimo, 24 (vinte e quatro) horas de antecedência, e a ocorrência será registrada em ata.</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pregoeiro poderá convocar o licitante para enviar documento digital complementar, por meio de funcionalidade disponível no sistema, no prazo de 48 (quarenta e oito) horas, sob pena de não aceitação da proposta.</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É facultado ao pregoeiro prorrogar o prazo estabelecido, a partir de solicitação fundamentada feita no chat pelo licitante, antes de findo o prazo.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Dentre os documentos passíveis de solicitação pelo pregoeiro, destacam-se os que contenham as características do material ofertado, tais como marca, modelo, tipo, fabricante e procedência, além de outras informações pert</w:t>
      </w:r>
      <w:r>
        <w:rPr>
          <w:rFonts w:ascii="Arial" w:hAnsi="Arial" w:cs="Arial"/>
          <w:color w:val="000000"/>
          <w:sz w:val="24"/>
          <w:szCs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Nos itens não exclusivos para a participação de microempresas e empresas de pequeno porte, sempre que a proposta não for aceita, e</w:t>
      </w:r>
      <w:r>
        <w:rPr>
          <w:rFonts w:ascii="Arial" w:hAnsi="Arial" w:cs="Arial"/>
          <w:bCs/>
          <w:iCs/>
          <w:color w:val="000000"/>
          <w:sz w:val="24"/>
          <w:szCs w:val="24"/>
        </w:rPr>
        <w:t xml:space="preserve"> antes de o pregoeiro passar à subsequente, haverá nova verificação, pelo sistema, da eventual ocorrência do empate ficto, previsto nos artigos 44 e 45 da Lei Complementar Federal nº 123, de 2006, seguindo-se a disciplina antes estabelecida, se for o caso.</w:t>
      </w:r>
      <w:r/>
    </w:p>
    <w:p>
      <w:pPr>
        <w:pStyle w:val="853"/>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Encerrada a análise quanto à aceitação da proposta, o pregoeiro verificará a habilitação do licitante, observado o disposto neste Edital.</w:t>
      </w:r>
      <w:r/>
    </w:p>
    <w:p>
      <w:pPr>
        <w:pStyle w:val="853"/>
        <w:ind w:left="851" w:right="49"/>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r>
      <w:r/>
    </w:p>
    <w:p>
      <w:pPr>
        <w:pStyle w:val="856"/>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HABILITAÇÃO:</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Como condição prévia ao exame da documentação de habilitação do licitante detentor da proposta classi</w:t>
      </w:r>
      <w:r>
        <w:rPr>
          <w:rFonts w:ascii="Arial" w:hAnsi="Arial" w:cs="Arial"/>
          <w:bCs/>
          <w:iCs/>
          <w:color w:val="000000"/>
          <w:sz w:val="24"/>
          <w:szCs w:val="24"/>
        </w:rPr>
        <w:t xml:space="preserve">ficada em primeiro lugar, o pregoeiro verificará o eventual descumprimento das condições de participação, especialmente quanto à existência de sanção que impeça a participação no certame ou a futura contratação, mediante a consulta aos seguintes cadastros: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SICAF</w:t>
      </w:r>
      <w:r>
        <w:rPr>
          <w:rFonts w:ascii="Arial" w:hAnsi="Arial" w:cs="Arial"/>
          <w:color w:val="000000"/>
          <w:sz w:val="24"/>
          <w:szCs w:val="24"/>
        </w:rPr>
        <w:t xml:space="preserve"> – Sistema de Cadastro Unificado de Fornecedores.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Cadastro Nacional de Empresas Inidôneas e Suspensas – CEIS, mantido pela Controladoria-Geral da União </w:t>
      </w:r>
      <w:r>
        <w:rPr>
          <w:rFonts w:ascii="Arial" w:hAnsi="Arial" w:cs="Arial"/>
          <w:sz w:val="24"/>
          <w:szCs w:val="24"/>
        </w:rPr>
        <w:t xml:space="preserve">(</w:t>
      </w:r>
      <w:hyperlink r:id="rId16" w:tooltip="http://www.portaldatransparencia.gov.br/ceis" w:history="1">
        <w:r>
          <w:rPr>
            <w:rFonts w:ascii="Arial" w:hAnsi="Arial" w:cs="Arial"/>
            <w:color w:val="0000ff"/>
            <w:sz w:val="24"/>
            <w:szCs w:val="24"/>
            <w:u w:val="single"/>
          </w:rPr>
          <w:t xml:space="preserve">www.portaldatransparencia.gov.br/ceis</w:t>
        </w:r>
      </w:hyperlink>
      <w:r>
        <w:rPr>
          <w:rFonts w:ascii="Arial" w:hAnsi="Arial" w:cs="Arial"/>
          <w:sz w:val="24"/>
          <w:szCs w:val="24"/>
        </w:rPr>
        <w:t xml:space="preserv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Cadastro Nacional de Condenações Cíveis por Atos de Improbidade Administrativa e Inelegibilidade mantido pelo Conselho Nacional de Justiça</w:t>
      </w:r>
      <w:r>
        <w:rPr>
          <w:rFonts w:ascii="Arial" w:hAnsi="Arial" w:cs="Arial"/>
          <w:sz w:val="24"/>
          <w:szCs w:val="24"/>
        </w:rPr>
        <w:t xml:space="preserve">(</w:t>
      </w:r>
      <w:hyperlink r:id="rId17" w:tooltip="http://www.cnj.jus.br/improbidade_adm/consultar_requerido.php" w:history="1">
        <w:r>
          <w:rPr>
            <w:rFonts w:ascii="Arial" w:hAnsi="Arial" w:cs="Arial"/>
            <w:color w:val="0000ff"/>
            <w:sz w:val="24"/>
            <w:szCs w:val="24"/>
            <w:u w:val="single"/>
          </w:rPr>
          <w:t xml:space="preserve">www.</w:t>
        </w:r>
        <w:r>
          <w:rPr>
            <w:rFonts w:ascii="Arial" w:hAnsi="Arial" w:cs="Arial"/>
            <w:bCs/>
            <w:color w:val="0000ff"/>
            <w:sz w:val="24"/>
            <w:szCs w:val="24"/>
            <w:u w:val="single"/>
          </w:rPr>
          <w:t xml:space="preserve">cnj</w:t>
        </w:r>
        <w:r>
          <w:rPr>
            <w:rFonts w:ascii="Arial" w:hAnsi="Arial" w:cs="Arial"/>
            <w:color w:val="0000ff"/>
            <w:sz w:val="24"/>
            <w:szCs w:val="24"/>
            <w:u w:val="single"/>
          </w:rPr>
          <w:t xml:space="preserve">.jus.br/</w:t>
        </w:r>
        <w:r>
          <w:rPr>
            <w:rFonts w:ascii="Arial" w:hAnsi="Arial" w:cs="Arial"/>
            <w:bCs/>
            <w:color w:val="0000ff"/>
            <w:sz w:val="24"/>
            <w:szCs w:val="24"/>
            <w:u w:val="single"/>
          </w:rPr>
          <w:t xml:space="preserve">improbidade</w:t>
        </w:r>
        <w:r>
          <w:rPr>
            <w:rFonts w:ascii="Arial" w:hAnsi="Arial" w:cs="Arial"/>
            <w:color w:val="0000ff"/>
            <w:sz w:val="24"/>
            <w:szCs w:val="24"/>
            <w:u w:val="single"/>
          </w:rPr>
          <w:t xml:space="preserve">_adm/consultar_requerido.php</w:t>
        </w:r>
      </w:hyperlink>
      <w:r>
        <w:rPr>
          <w:rFonts w:ascii="Arial" w:hAnsi="Arial" w:cs="Arial"/>
          <w:sz w:val="24"/>
          <w:szCs w:val="24"/>
        </w:rPr>
        <w:t xml:space="preserv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Lista de Inidôneos e o Cadastro Integrado de Condenações por Ilícitos Administrativos - </w:t>
      </w:r>
      <w:r>
        <w:rPr>
          <w:rFonts w:ascii="Arial" w:hAnsi="Arial" w:cs="Arial"/>
          <w:color w:val="000000"/>
          <w:sz w:val="24"/>
          <w:szCs w:val="24"/>
        </w:rPr>
        <w:t xml:space="preserve">CADICON</w:t>
      </w:r>
      <w:r>
        <w:rPr>
          <w:rFonts w:ascii="Arial" w:hAnsi="Arial" w:cs="Arial"/>
          <w:color w:val="000000"/>
          <w:sz w:val="24"/>
          <w:szCs w:val="24"/>
        </w:rPr>
        <w:t xml:space="preserve">, mantidos pelo Tribunal de Contas da União – TCU.</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consulta aos cadastros será realizada em nome da empresa licitante, por força do artig</w:t>
      </w:r>
      <w:r>
        <w:rPr>
          <w:rFonts w:ascii="Arial" w:hAnsi="Arial" w:cs="Arial"/>
          <w:color w:val="000000"/>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856"/>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856"/>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A tentativa de burla será verificada por meio dos vínculos societários, linhas de fornecimento similares, dentre outros.</w:t>
      </w:r>
      <w:r/>
    </w:p>
    <w:p>
      <w:pPr>
        <w:pStyle w:val="856"/>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licitante será convocado para manifestação previamente à sua desclassificação.</w:t>
      </w:r>
      <w:r/>
    </w:p>
    <w:p>
      <w:pPr>
        <w:pStyle w:val="856"/>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Para a consulta de licitantes pessoa jurídica poderá haver a substituição das consultas das alíneas 10.1.2, 10.1.3 e 10.1.4 acima pela Consulta Consolidada de Pessoa Jurídica do TCU </w:t>
      </w:r>
      <w:r>
        <w:rPr>
          <w:rFonts w:ascii="Arial" w:hAnsi="Arial" w:cs="Arial"/>
          <w:sz w:val="24"/>
          <w:szCs w:val="24"/>
        </w:rPr>
        <w:t xml:space="preserve"> </w:t>
      </w:r>
      <w:hyperlink r:id="rId18" w:tooltip="https://certidoes-apf.apps.tcu.gov.br/" w:history="1">
        <w:r>
          <w:rPr>
            <w:rStyle w:val="854"/>
            <w:rFonts w:ascii="Arial" w:hAnsi="Arial" w:cs="Arial"/>
            <w:sz w:val="24"/>
            <w:szCs w:val="24"/>
          </w:rPr>
          <w:t xml:space="preserve">https://certidoes-apf.apps.tcu.gov.br/</w:t>
        </w:r>
      </w:hyperlink>
      <w:r>
        <w:rPr>
          <w:rStyle w:val="854"/>
          <w:rFonts w:ascii="Arial" w:hAnsi="Arial" w:cs="Arial"/>
          <w:sz w:val="24"/>
          <w:szCs w:val="24"/>
        </w:rPr>
        <w:t xml:space="preserve">.</w:t>
      </w:r>
      <w:r/>
    </w:p>
    <w:p>
      <w:pPr>
        <w:numPr>
          <w:ilvl w:val="2"/>
          <w:numId w:val="1"/>
        </w:numPr>
        <w:ind w:left="3119"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Constatada a existência de sanção, o pregoeiro reputará o licitante inabilitado, por falta de condição de participação.</w:t>
      </w:r>
      <w:r/>
    </w:p>
    <w:p>
      <w:pPr>
        <w:numPr>
          <w:ilvl w:val="2"/>
          <w:numId w:val="1"/>
        </w:numPr>
        <w:ind w:left="3119"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inabilitação, haverá nova verificação, pelo sistema, da eventual ocorrência do empate ficto, previsto nos </w:t>
      </w:r>
      <w:r>
        <w:rPr>
          <w:rFonts w:ascii="Arial" w:hAnsi="Arial" w:cs="Arial"/>
          <w:color w:val="000000"/>
          <w:sz w:val="24"/>
          <w:szCs w:val="24"/>
        </w:rPr>
        <w:t xml:space="preserve">arts</w:t>
      </w:r>
      <w:r>
        <w:rPr>
          <w:rFonts w:ascii="Arial" w:hAnsi="Arial" w:cs="Arial"/>
          <w:color w:val="000000"/>
          <w:sz w:val="24"/>
          <w:szCs w:val="24"/>
        </w:rPr>
        <w:t xml:space="preserve">. 44 e 45 da Lei Complementar nº 123, de 2006, seguindo-se a disciplina antes estabelecida para aceitação da proposta subsequente.</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Não ocorrendo inabilitação, o pregoeiro consultará o Sistema de Cadastro Unificado de Fornecedores – </w:t>
      </w:r>
      <w:r>
        <w:rPr>
          <w:rFonts w:ascii="Arial" w:hAnsi="Arial" w:cs="Arial"/>
          <w:bCs/>
          <w:iCs/>
          <w:color w:val="000000"/>
          <w:sz w:val="24"/>
          <w:szCs w:val="24"/>
        </w:rPr>
        <w:t xml:space="preserve">SICAF</w:t>
      </w:r>
      <w:r>
        <w:rPr>
          <w:rFonts w:ascii="Arial" w:hAnsi="Arial" w:cs="Arial"/>
          <w:bCs/>
          <w:iCs/>
          <w:color w:val="000000"/>
          <w:sz w:val="24"/>
          <w:szCs w:val="24"/>
        </w:rPr>
        <w:t xml:space="preserve">, em relação à habilitação jurídica, à regularidade fiscal, à qualificação econômica financeira e habilitação técnica, conforme o disposto nos arts.</w:t>
      </w:r>
      <w:hyperlink w:history="1">
        <w:r>
          <w:rPr>
            <w:rFonts w:ascii="Arial" w:hAnsi="Arial" w:cs="Arial"/>
            <w:bCs/>
            <w:iCs/>
            <w:color w:val="000000"/>
            <w:sz w:val="24"/>
            <w:szCs w:val="24"/>
          </w:rPr>
          <w:t xml:space="preserve">10, 11, 12, 13, 14, 15</w:t>
        </w:r>
      </w:hyperlink>
      <w:r>
        <w:rPr>
          <w:rFonts w:ascii="Arial" w:hAnsi="Arial" w:cs="Arial"/>
          <w:bCs/>
          <w:iCs/>
          <w:color w:val="000000"/>
          <w:sz w:val="24"/>
          <w:szCs w:val="24"/>
        </w:rPr>
        <w:t xml:space="preserve"> e 16 da Instrução Normativa SEGES/MP nº 03, de 2018.</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interessado, para efeitos de habilitação prevista na Instrução Normativa SEGES/MP nº 03, de 2018 mediante utilização do sistema, deverá atender às condições exigidas no cadastramento no </w:t>
      </w:r>
      <w:r>
        <w:rPr>
          <w:rFonts w:ascii="Arial" w:hAnsi="Arial" w:cs="Arial"/>
          <w:color w:val="000000"/>
          <w:sz w:val="24"/>
          <w:szCs w:val="24"/>
        </w:rPr>
        <w:t xml:space="preserve">SICAF</w:t>
      </w:r>
      <w:r>
        <w:rPr>
          <w:rFonts w:ascii="Arial" w:hAnsi="Arial" w:cs="Arial"/>
          <w:color w:val="000000"/>
          <w:sz w:val="24"/>
          <w:szCs w:val="24"/>
        </w:rPr>
        <w:t xml:space="preserve"> até o terceiro dia útil anterior à data prevista para recebimento das propostas;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É dever do licitante atualizar previamente as comprovações constantes do </w:t>
      </w:r>
      <w:r>
        <w:rPr>
          <w:rFonts w:ascii="Arial" w:hAnsi="Arial" w:cs="Arial"/>
          <w:color w:val="000000"/>
          <w:sz w:val="24"/>
          <w:szCs w:val="24"/>
        </w:rPr>
        <w:t xml:space="preserve">SICAF</w:t>
      </w:r>
      <w:r>
        <w:rPr>
          <w:rFonts w:ascii="Arial" w:hAnsi="Arial" w:cs="Arial"/>
          <w:color w:val="000000"/>
          <w:sz w:val="24"/>
          <w:szCs w:val="24"/>
        </w:rPr>
        <w:t xml:space="preserve"> para que estejam vigentes na data da abertura da sessão pública, ou encaminhar, em conjunto com a apresentação da proposta, a respectiva documentação atualizada.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do subitem acima implicará a inabilitação do licitante, exceto se a consulta aos sítios eletrônicos oficiais emissores de certidões feita pelo pregoeiro lograr êxito em encontrar a(s) certidão(</w:t>
      </w:r>
      <w:r>
        <w:rPr>
          <w:rFonts w:ascii="Arial" w:hAnsi="Arial" w:cs="Arial"/>
          <w:color w:val="000000"/>
          <w:sz w:val="24"/>
          <w:szCs w:val="24"/>
        </w:rPr>
        <w:t xml:space="preserve">ões</w:t>
      </w:r>
      <w:r>
        <w:rPr>
          <w:rFonts w:ascii="Arial" w:hAnsi="Arial" w:cs="Arial"/>
          <w:color w:val="000000"/>
          <w:sz w:val="24"/>
          <w:szCs w:val="24"/>
        </w:rPr>
        <w:t xml:space="preserve">) válida(s), conforme art. 43, §3º, do Decreto 10.024, de 2019.</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Ressalvado o disposto no item 5.3, os licitantes deverão encaminhar, nos termos deste Edital, a documentação relacionada nos itens a seguir, para fins de habilitação:</w:t>
      </w:r>
      <w:r/>
    </w:p>
    <w:p>
      <w:pPr>
        <w:pStyle w:val="853"/>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Habilitação jurídica: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Em se tratando de microempreendedor individual – MEI: Certificado da Condição de Microempreendedor Individual - </w:t>
      </w:r>
      <w:r>
        <w:rPr>
          <w:rFonts w:ascii="Arial" w:hAnsi="Arial" w:cs="Arial"/>
          <w:color w:val="000000"/>
          <w:sz w:val="24"/>
          <w:szCs w:val="24"/>
        </w:rPr>
        <w:t xml:space="preserve">CCMEI</w:t>
      </w:r>
      <w:r>
        <w:rPr>
          <w:rFonts w:ascii="Arial" w:hAnsi="Arial" w:cs="Arial"/>
          <w:color w:val="000000"/>
          <w:sz w:val="24"/>
          <w:szCs w:val="24"/>
        </w:rPr>
        <w:t xml:space="preserve">, cuja aceitação ficará condicionada à verificação da autenticidade no sítio </w:t>
      </w:r>
      <w:hyperlink r:id="rId19" w:tooltip="http://www.portaldoempreendedor.gov.br" w:history="1">
        <w:r>
          <w:rPr>
            <w:rStyle w:val="854"/>
            <w:rFonts w:ascii="Arial" w:hAnsi="Arial" w:cs="Arial"/>
            <w:bCs/>
            <w:sz w:val="24"/>
            <w:szCs w:val="24"/>
          </w:rPr>
          <w:t xml:space="preserve">www.portaldoempreendedor.gov.br</w:t>
        </w:r>
      </w:hyperlink>
      <w:r>
        <w:rPr>
          <w:rFonts w:ascii="Arial" w:hAnsi="Arial" w:cs="Arial"/>
          <w:bCs/>
          <w:color w:val="000000"/>
          <w:sz w:val="24"/>
          <w:szCs w:val="24"/>
        </w:rPr>
        <w:t xml:space="preserve">, </w:t>
      </w:r>
      <w:r>
        <w:rPr>
          <w:rFonts w:ascii="Arial" w:hAnsi="Arial" w:cs="Arial"/>
          <w:color w:val="000000"/>
          <w:sz w:val="24"/>
          <w:szCs w:val="24"/>
        </w:rPr>
        <w:t xml:space="preserve">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sociedade empresária ou empresa individual de responsabilidade limitada - </w:t>
      </w:r>
      <w:r>
        <w:rPr>
          <w:rFonts w:ascii="Arial" w:hAnsi="Arial" w:cs="Arial"/>
          <w:color w:val="000000"/>
          <w:sz w:val="24"/>
          <w:szCs w:val="24"/>
        </w:rPr>
        <w:t xml:space="preserve">EIRELI</w:t>
      </w:r>
      <w:r>
        <w:rPr>
          <w:rFonts w:ascii="Arial" w:hAnsi="Arial" w:cs="Arial"/>
          <w:color w:val="000000"/>
          <w:sz w:val="24"/>
          <w:szCs w:val="24"/>
        </w:rPr>
        <w:t xml:space="preserve">/ Sociedade Limitada Unipessoal- SLU</w:t>
      </w:r>
      <w:r>
        <w:rPr>
          <w:rFonts w:ascii="Arial" w:hAnsi="Arial" w:cs="Arial"/>
          <w:color w:val="000000"/>
          <w:sz w:val="24"/>
          <w:szCs w:val="24"/>
        </w:rPr>
        <w:t xml:space="preserve">: ato constituti</w:t>
      </w:r>
      <w:r>
        <w:rPr>
          <w:rFonts w:ascii="Arial" w:hAnsi="Arial" w:cs="Arial"/>
          <w:color w:val="000000"/>
          <w:sz w:val="24"/>
          <w:szCs w:val="24"/>
        </w:rPr>
        <w:t xml:space="preserve">vo, estatuto ou contrato social em vigor, devidamente registrado na Junta Comercial da respectiva sede, acompanhado de documento comprobatório de seus administradores,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Inscr</w:t>
      </w:r>
      <w:r>
        <w:rPr>
          <w:rFonts w:ascii="Arial" w:hAnsi="Arial" w:cs="Arial"/>
          <w:color w:val="000000"/>
          <w:sz w:val="24"/>
          <w:szCs w:val="24"/>
        </w:rPr>
        <w:t xml:space="preserve">ição no Registro Público de Empresas Mercantis onde opera, com averbação no Registro onde tem sede a matriz, no caso de ser o participante sucursal, filial ou agência,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soc</w:t>
      </w:r>
      <w:r>
        <w:rPr>
          <w:rFonts w:ascii="Arial" w:hAnsi="Arial" w:cs="Arial"/>
          <w:color w:val="000000"/>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cooperativa: ata de fu</w:t>
      </w:r>
      <w:r>
        <w:rPr>
          <w:rFonts w:ascii="Arial" w:hAnsi="Arial" w:cs="Arial"/>
          <w:color w:val="000000"/>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empresa ou sociedade estrangeira em funcionamento no País: decreto de autorização.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consórcio autorizado, o ato de oficialização da atividade consorciada com os devidos documentos comprobatórios da sua diretoria e poderes a eles autorizados.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Os documentos acima deverão estar acompanhados de todas as alterações ou da consolidação respectiva.</w:t>
      </w:r>
      <w:r/>
    </w:p>
    <w:p>
      <w:pPr>
        <w:pStyle w:val="853"/>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Regularidade fiscal e trabalhista: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inscrição no Cadastro Nacional de Pessoas Jurídicas</w:t>
      </w:r>
      <w:r>
        <w:rPr>
          <w:rFonts w:ascii="Arial" w:hAnsi="Arial" w:cs="Arial"/>
          <w:color w:val="000000"/>
          <w:sz w:val="24"/>
          <w:szCs w:val="24"/>
        </w:rPr>
        <w:t xml:space="preserve"> </w:t>
      </w:r>
      <w:r>
        <w:rPr>
          <w:rFonts w:ascii="Arial" w:hAnsi="Arial" w:cs="Arial"/>
          <w:sz w:val="24"/>
          <w:szCs w:val="24"/>
        </w:rPr>
        <w:t xml:space="preserve">(CNPJ).</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fiscal perante a Fa</w:t>
      </w:r>
      <w:r>
        <w:rPr>
          <w:rFonts w:ascii="Arial" w:hAnsi="Arial" w:cs="Arial"/>
          <w:color w:val="000000"/>
          <w:sz w:val="24"/>
          <w:szCs w:val="24"/>
        </w:rPr>
        <w:t xml:space="preserve">zenda Nacional, mediante apresentação de certidão expedida conjuntamente pela Secretaria da Receita Federal do Brasil (RFB) e pela Procuradoria-Geral da Fazenda Nacional (PGFN), referente a todos os créditos tributários federais e à Dívida Ativa da União (</w:t>
      </w:r>
      <w:r>
        <w:rPr>
          <w:rFonts w:ascii="Arial" w:hAnsi="Arial" w:cs="Arial"/>
          <w:color w:val="000000"/>
          <w:sz w:val="24"/>
          <w:szCs w:val="24"/>
        </w:rPr>
        <w:t xml:space="preserve">DAU</w:t>
      </w:r>
      <w:r>
        <w:rPr>
          <w:rFonts w:ascii="Arial" w:hAnsi="Arial" w:cs="Arial"/>
          <w:color w:val="000000"/>
          <w:sz w:val="24"/>
          <w:szCs w:val="24"/>
        </w:rPr>
        <w:t xml:space="preserve">) por elas administrados, inclusive aqueles relativos à Seguridade Social, nos termos da </w:t>
      </w:r>
      <w:r>
        <w:rPr>
          <w:rFonts w:ascii="Arial" w:hAnsi="Arial" w:cs="Arial"/>
          <w:color w:val="000000"/>
          <w:sz w:val="24"/>
          <w:szCs w:val="24"/>
        </w:rPr>
        <w:t xml:space="preserve">Portaria Conjunta nº 1.751, de 02/10/2014, do Secretário da Receita Federal do Brasil e da Procuradora-Geral da Fazenda Nacional.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com o Fundo de Garantia do Tempo de Serviço (FGTS).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inexistência de débitos inadimplidos perante a justiça do trabalho (</w:t>
      </w:r>
      <w:r>
        <w:rPr>
          <w:rFonts w:ascii="Arial" w:hAnsi="Arial" w:cs="Arial"/>
          <w:color w:val="000000"/>
          <w:sz w:val="24"/>
          <w:szCs w:val="24"/>
        </w:rPr>
        <w:t xml:space="preserve">CNDT</w:t>
      </w:r>
      <w:r>
        <w:rPr>
          <w:rFonts w:ascii="Arial" w:hAnsi="Arial" w:cs="Arial"/>
          <w:color w:val="000000"/>
          <w:sz w:val="24"/>
          <w:szCs w:val="24"/>
        </w:rPr>
        <w:t xml:space="preserve">), mediante a apresentação de certidão negativa ou positiva com efeito de negativa, nos termos do Título </w:t>
      </w:r>
      <w:r>
        <w:rPr>
          <w:rFonts w:ascii="Arial" w:hAnsi="Arial" w:cs="Arial"/>
          <w:color w:val="000000"/>
          <w:sz w:val="24"/>
          <w:szCs w:val="24"/>
        </w:rPr>
        <w:t xml:space="preserve">VII-A</w:t>
      </w:r>
      <w:r>
        <w:rPr>
          <w:rFonts w:ascii="Arial" w:hAnsi="Arial" w:cs="Arial"/>
          <w:color w:val="000000"/>
          <w:sz w:val="24"/>
          <w:szCs w:val="24"/>
        </w:rPr>
        <w:t xml:space="preserve"> da Consolidação das Leis do Trabalho, aprovada pelo Decreto-Lei nº 5.452, de 1º de maio de 1943.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inscrição no cadastro de contribuintes estadual ou municipal, relativo ao domicílio ou sede do licitante, pertinente ao seu ramo de atividade e compatível com o objeto contratual.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 Prova de regularidade fiscal com a Fazenda Estadual do domicílio ou sede do licitante, relativa à atividade em cujo exercício contrata ou concorre.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fiscal com a Fazenda Municipal do domicílio ou sede do licitante, relativa à atividade em cujo exercício contrata ou concorre.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w:t>
      </w:r>
      <w:r>
        <w:rPr>
          <w:rFonts w:ascii="Arial" w:hAnsi="Arial" w:cs="Arial"/>
          <w:color w:val="000000"/>
          <w:sz w:val="24"/>
          <w:szCs w:val="24"/>
        </w:rPr>
        <w:t xml:space="preserve">nte detentor do menor preço seja qualificado como microempresa ou empresa de pequeno porte deverá apresentar toda a documentação exigida para efeito de comprovação de regularidade fiscal, mesmo que esta apresente alguma restrição, sob pena de inabilitação.</w:t>
      </w:r>
      <w:r/>
    </w:p>
    <w:p>
      <w:pPr>
        <w:pStyle w:val="853"/>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Qualificação econômico-financeira: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Certidão negativa de falência expedida pelo distribuidor da sede da pessoa jurídica.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Balanço patrimonial e demonstrações contábeis do último exercício social, já exigíveis e apresentados na f</w:t>
      </w:r>
      <w:r>
        <w:rPr>
          <w:rFonts w:ascii="Arial" w:hAnsi="Arial" w:cs="Arial"/>
          <w:color w:val="000000"/>
          <w:sz w:val="24"/>
          <w:szCs w:val="24"/>
        </w:rPr>
        <w:t xml:space="preserve">orma da lei, que comprovem a boa situação financeira da empresa, vedada a sua substituição por balancetes ou balanços provisórios, podendo ser atualizados por índices oficiais quando encerrado há mais de 3 (três) meses da data de apresentação da proposta. </w:t>
      </w:r>
      <w:r/>
    </w:p>
    <w:p>
      <w:pPr>
        <w:pStyle w:val="856"/>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Balanço Patrimonial deverá estar assinado pelo Representante Legal da licitante e pelo Contador ou </w:t>
      </w:r>
      <w:r>
        <w:rPr>
          <w:rFonts w:ascii="Arial" w:hAnsi="Arial" w:cs="Arial"/>
          <w:bCs/>
          <w:color w:val="000000"/>
          <w:sz w:val="24"/>
          <w:szCs w:val="24"/>
        </w:rPr>
        <w:t xml:space="preserve">Técnico em Contabilidade, com indicação de seu número de Registro no </w:t>
      </w:r>
      <w:r>
        <w:rPr>
          <w:rFonts w:ascii="Arial" w:hAnsi="Arial" w:cs="Arial"/>
          <w:bCs/>
          <w:color w:val="000000"/>
          <w:sz w:val="24"/>
          <w:szCs w:val="24"/>
        </w:rPr>
        <w:t xml:space="preserve">CRC</w:t>
      </w:r>
      <w:r>
        <w:rPr>
          <w:rFonts w:ascii="Arial" w:hAnsi="Arial" w:cs="Arial"/>
          <w:bCs/>
          <w:color w:val="000000"/>
          <w:sz w:val="24"/>
          <w:szCs w:val="24"/>
        </w:rPr>
        <w:t xml:space="preserve">.</w:t>
      </w:r>
      <w:r/>
    </w:p>
    <w:p>
      <w:pPr>
        <w:pStyle w:val="856"/>
        <w:numPr>
          <w:ilvl w:val="3"/>
          <w:numId w:val="1"/>
        </w:numPr>
        <w:contextualSpacing w:val="0"/>
        <w:ind w:left="3119" w:right="51" w:hanging="1134"/>
        <w:jc w:val="both"/>
        <w:spacing w:before="240" w:after="120" w:line="276" w:lineRule="auto"/>
        <w:rPr>
          <w:rFonts w:ascii="Arial" w:hAnsi="Arial" w:cs="Arial"/>
          <w:b/>
          <w:color w:val="000000"/>
          <w:sz w:val="24"/>
          <w:szCs w:val="24"/>
        </w:rPr>
      </w:pPr>
      <w:r>
        <w:rPr>
          <w:rFonts w:ascii="Arial" w:hAnsi="Arial" w:cs="Arial"/>
          <w:b/>
          <w:color w:val="000000"/>
          <w:sz w:val="24"/>
          <w:szCs w:val="24"/>
        </w:rPr>
        <w:t xml:space="preserve">Para efeito de segurança no procedimento licitatório, o Balanço Patrimonial a ser apresentado, deverá estar devidamente registrado na Junta Comercial do Estado sede da empresa licitante.</w:t>
      </w:r>
      <w:r/>
    </w:p>
    <w:p>
      <w:pPr>
        <w:pStyle w:val="856"/>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Poderá ser apresentado </w:t>
      </w:r>
      <w:r>
        <w:rPr>
          <w:rFonts w:ascii="Arial" w:hAnsi="Arial" w:cs="Arial"/>
          <w:bCs/>
          <w:color w:val="000000"/>
          <w:sz w:val="24"/>
          <w:szCs w:val="24"/>
        </w:rPr>
        <w:t xml:space="preserve">Sped</w:t>
      </w:r>
      <w:r>
        <w:rPr>
          <w:rFonts w:ascii="Arial" w:hAnsi="Arial" w:cs="Arial"/>
          <w:bCs/>
          <w:color w:val="000000"/>
          <w:sz w:val="24"/>
          <w:szCs w:val="24"/>
        </w:rPr>
        <w:t xml:space="preserve"> contábil (sendo dispensada a autenticação nas juntas comerciais conforme o Disposto no Decreto nº 8.683 de 2</w:t>
      </w:r>
      <w:r>
        <w:rPr>
          <w:rFonts w:ascii="Arial" w:hAnsi="Arial" w:cs="Arial"/>
          <w:bCs/>
          <w:color w:val="000000"/>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pStyle w:val="856"/>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fornecimento de bens para pronta entrega, não será exigido da licitante qualificada como microempresa ou empresa de pequeno porte, a apresentação de balanço patrimonial do último exercício financeiro. (Art. 3º do Decreto nº 8.538, de 2015);</w:t>
      </w:r>
      <w:r/>
    </w:p>
    <w:p>
      <w:pPr>
        <w:pStyle w:val="856"/>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empresa constituída no exercício social vigente, admite-se a apresentação de balanço patrimonial e demonstrações contábeis referentes ao período de existência da sociedade.</w:t>
      </w:r>
      <w:r/>
    </w:p>
    <w:p>
      <w:pPr>
        <w:pStyle w:val="856"/>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É admissível o balanço intermediário, se decorrer de lei ou contrato social/estatuto social.</w:t>
      </w:r>
      <w:r/>
    </w:p>
    <w:p>
      <w:pPr>
        <w:pStyle w:val="856"/>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o licitante seja </w:t>
      </w:r>
      <w:r>
        <w:rPr>
          <w:rFonts w:ascii="Arial" w:hAnsi="Arial" w:cs="Arial"/>
          <w:bCs/>
          <w:color w:val="000000"/>
          <w:sz w:val="24"/>
          <w:szCs w:val="24"/>
        </w:rPr>
        <w:t xml:space="preserve">cooperativa</w:t>
      </w:r>
      <w:r>
        <w:rPr>
          <w:rFonts w:ascii="Arial" w:hAnsi="Arial" w:cs="Arial"/>
          <w:bCs/>
          <w:color w:val="000000"/>
          <w:sz w:val="24"/>
          <w:szCs w:val="24"/>
        </w:rPr>
        <w:t xml:space="preserve">,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comprovação da situação financeira da empresa será constatada mediante obtenção de índices de Liquidez Geral (LG), Solvência Geral (SG) e Liquidez Corrente (LC), iguais ou superiores a 1 (um) resultantes da aplicação das fórmulas, conforme Anexo</w:t>
      </w:r>
      <w:r>
        <w:rPr>
          <w:rFonts w:ascii="Arial" w:hAnsi="Arial" w:cs="Arial"/>
          <w:color w:val="000000"/>
          <w:sz w:val="24"/>
          <w:szCs w:val="24"/>
        </w:rPr>
        <w:t xml:space="preserve"> III.</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não apresentação ou incorreções nos referidos índices, inabilitará a empresa caso esta possua resultado inferior a 1 (um) em qualquer dos índices de Liquidez Geral (LG), Solvência Geral (SG) e Liquidez </w:t>
      </w:r>
      <w:r>
        <w:rPr>
          <w:rFonts w:ascii="Arial" w:hAnsi="Arial" w:cs="Arial"/>
          <w:color w:val="000000"/>
          <w:sz w:val="24"/>
          <w:szCs w:val="24"/>
        </w:rPr>
        <w:t xml:space="preserve">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853"/>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Qualificação técnica: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Comprovação de aptidão para desempenho de atividade pertinente e compatível em características, quantidades e prazos com o objeto da licitação, através de um ou mais Atestados de Capacidade técnica emitido por Pessoa Jurídica Pública ou Privada.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Alvará Sanitário.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Autorização de Funcionamento (AFE) emitida pela ANVISA.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Cópia do Registro do Produto na ANVISA, destacando o número do item e forma de apresentação.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Comprovação de Inscrição no Conselho Regional de Farmácia (CRF).</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documentos exigidos para habilitação relacionados nos subitens acima, deverão ser apresentados em meio digital pelos licitantes, por meio de funcionalidade presente no sistema (upload).</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serão aceitos documentos com indicação de CNPJ/CPF diferentes, salvo aqueles legalmente permitidos.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color w:val="000000"/>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Serão aceitos registros de CNPJ de licitante matriz e filial com diferenças de números de documentos pertinentes ao </w:t>
      </w:r>
      <w:r>
        <w:rPr>
          <w:rFonts w:ascii="Arial" w:hAnsi="Arial" w:cs="Arial"/>
          <w:color w:val="000000"/>
          <w:sz w:val="24"/>
          <w:szCs w:val="24"/>
        </w:rPr>
        <w:t xml:space="preserve">CND</w:t>
      </w:r>
      <w:r>
        <w:rPr>
          <w:rFonts w:ascii="Arial" w:hAnsi="Arial" w:cs="Arial"/>
          <w:color w:val="000000"/>
          <w:sz w:val="24"/>
          <w:szCs w:val="24"/>
        </w:rPr>
        <w:t xml:space="preserve"> e ao CRF/FGTS, quando for comprovada a centralização do recolhimento dessas contribuições.</w:t>
      </w:r>
      <w:r/>
    </w:p>
    <w:p>
      <w:pPr>
        <w:numPr>
          <w:ilvl w:val="2"/>
          <w:numId w:val="1"/>
        </w:numPr>
        <w:ind w:left="1985" w:right="49" w:hanging="851"/>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Serão considerados os prazos de validade expressos nos documentos.</w:t>
      </w:r>
      <w:r/>
    </w:p>
    <w:p>
      <w:pPr>
        <w:pStyle w:val="856"/>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pStyle w:val="856"/>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Os certificados/certidões deverão ter prazo de validade com vencimento até, no mínimo, a data marcada para a abertura do certame.</w:t>
      </w:r>
      <w:r/>
    </w:p>
    <w:p>
      <w:pPr>
        <w:pStyle w:val="853"/>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Além dos documentos previstos no item 10.4, 10.5, 10.6 e 10.7, as empresas DEVERÃO encaminhar os anexos III e V:</w:t>
      </w:r>
      <w:r/>
    </w:p>
    <w:p>
      <w:pPr>
        <w:pStyle w:val="856"/>
        <w:ind w:left="1134"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III – Declaração de análise econômico-financeira.</w:t>
      </w:r>
      <w:r/>
    </w:p>
    <w:p>
      <w:pPr>
        <w:pStyle w:val="856"/>
        <w:ind w:left="1134"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V – Declaração conjunta de prazo de fornecimento, artigo 88 da lei orgânica municipal e sobre funcionário inelegível.</w:t>
      </w:r>
      <w:r/>
    </w:p>
    <w:p>
      <w:pPr>
        <w:numPr>
          <w:ilvl w:val="2"/>
          <w:numId w:val="1"/>
        </w:numPr>
        <w:ind w:left="1985" w:right="49" w:hanging="851"/>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As declarações contidas no item supramencionado, quando não apresentadas pelo licitante em sua documentação, deverão ser enviadas em até 30 (trinta) minutos quando solicitadas pelo Pregoeiro.</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bCs/>
          <w:iCs/>
          <w:color w:val="000000"/>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reman</w:t>
      </w:r>
      <w:r>
        <w:rPr>
          <w:rFonts w:ascii="Arial" w:hAnsi="Arial" w:cs="Arial"/>
          <w:bCs/>
          <w:iCs/>
          <w:color w:val="000000"/>
          <w:sz w:val="24"/>
          <w:szCs w:val="24"/>
        </w:rPr>
        <w:t xml:space="preserve">escentes, na ordem de classificação. Se, na ordem de classificação, seguir-se outra microempresa, empresa de pequeno porte ou sociedade cooperativa com alguma restrição na documentação fiscal e trabalhista, será concedido o mesmo prazo para regularização. </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Havendo necessidade de analisar minuciosamente os documentos exigidos, o Pregoeiro suspenderá a sessão, informando no “chat” a nova data e horário para a continuidade da mesma.</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Será inabilitado o licitante que não comprovar sua habilitação, seja por não apresentar quaisquer dos documentos exigidos, ou apresentá-los em desacordo com o estabelecido neste Edital.</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licitante provisoriamente vencedor em um item, que estiver concorrendo em outro item</w:t>
      </w:r>
      <w:r>
        <w:rPr>
          <w:rFonts w:ascii="Arial" w:hAnsi="Arial" w:cs="Arial"/>
          <w:bCs/>
          <w:iCs/>
          <w:color w:val="000000"/>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Constatado o atendimento às exigências de habilitação fixadas no Edital, o licitante será declarado vencedor.</w:t>
      </w:r>
      <w:r/>
    </w:p>
    <w:p>
      <w:pPr>
        <w:pStyle w:val="856"/>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 ENCAMINHAMENTO DA PROPOSTA VENCEDORA</w:t>
      </w:r>
      <w:r>
        <w:rPr>
          <w:rFonts w:ascii="Arial" w:hAnsi="Arial" w:cs="Arial"/>
          <w:b/>
          <w:iCs/>
          <w:color w:val="000000"/>
          <w:sz w:val="24"/>
          <w:szCs w:val="24"/>
        </w:rPr>
        <w:t xml:space="preserve">:</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final do licitante declarado vencedor deverá ser encaminhada no prazo de 02 (duas) horas, a contar da solicitação do Pregoeiro no sistema eletrônico e deverá:</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Conter a indicação do banco, número da conta e agência do licitante vencedor, para fins de pagamento.</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final deverá ser documentada nos autos e será levada em consideração no decorrer da execução do contrato e aplicação de eventual sanção à Contratada, se for o caso.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Todas as especificações do objeto contidas na proposta, tais como marca, modelo, tipo, fabricante e procedência, vinculam a Contratada.</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deverá obedecer aos termos deste Edital e seus Anexos, não sendo considerada aquela que não corresponda às especificações ali contidas ou que estabeleça vínculo à proposta de outro licitante.</w:t>
      </w:r>
      <w:r/>
    </w:p>
    <w:p>
      <w:pPr>
        <w:pStyle w:val="856"/>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DOS RECURSOS:</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Declarado o vencedor e decorrida a fase de regularização fiscal e trabalhist</w:t>
      </w:r>
      <w:r>
        <w:rPr>
          <w:rFonts w:ascii="Arial" w:hAnsi="Arial" w:cs="Arial"/>
          <w:bCs/>
          <w:iCs/>
          <w:color w:val="000000"/>
          <w:sz w:val="24"/>
          <w:szCs w:val="24"/>
        </w:rPr>
        <w:t xml:space="preserve">a da licitante qualificada como microempresa ou empresa de pequeno porte, se for o caso, será concedido o prazo de no mínimo 20 (vinte) minutos, para que qualquer licitante manifeste a intenção de recorrer, de forma motivada, isto é, indicando contra qual(</w:t>
      </w:r>
      <w:r>
        <w:rPr>
          <w:rFonts w:ascii="Arial" w:hAnsi="Arial" w:cs="Arial"/>
          <w:bCs/>
          <w:iCs/>
          <w:color w:val="000000"/>
          <w:sz w:val="24"/>
          <w:szCs w:val="24"/>
        </w:rPr>
        <w:t xml:space="preserve">is</w:t>
      </w:r>
      <w:r>
        <w:rPr>
          <w:rFonts w:ascii="Arial" w:hAnsi="Arial" w:cs="Arial"/>
          <w:bCs/>
          <w:iCs/>
          <w:color w:val="000000"/>
          <w:sz w:val="24"/>
          <w:szCs w:val="24"/>
        </w:rPr>
        <w:t xml:space="preserve">) decisão(</w:t>
      </w:r>
      <w:r>
        <w:rPr>
          <w:rFonts w:ascii="Arial" w:hAnsi="Arial" w:cs="Arial"/>
          <w:bCs/>
          <w:iCs/>
          <w:color w:val="000000"/>
          <w:sz w:val="24"/>
          <w:szCs w:val="24"/>
        </w:rPr>
        <w:t xml:space="preserve">ões</w:t>
      </w:r>
      <w:r>
        <w:rPr>
          <w:rFonts w:ascii="Arial" w:hAnsi="Arial" w:cs="Arial"/>
          <w:bCs/>
          <w:iCs/>
          <w:color w:val="000000"/>
          <w:sz w:val="24"/>
          <w:szCs w:val="24"/>
        </w:rPr>
        <w:t xml:space="preserve">) pretende recorrer e por quais motivos, em campo próprio do sistema.</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Nesse momento, o pregoeiro não adentrará no mérito recursal, mas apenas verificará as condições de admissibilidade do recurso.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falta de manifestação motivada do licitante quanto à intenção de recorrer importará a decadência desse direito.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Uma vez admitido </w:t>
      </w:r>
      <w:r>
        <w:rPr>
          <w:rFonts w:ascii="Arial" w:hAnsi="Arial" w:cs="Arial"/>
          <w:color w:val="000000"/>
          <w:sz w:val="24"/>
          <w:szCs w:val="24"/>
        </w:rPr>
        <w:t xml:space="preserve">o recurso, o recorrente terá, a partir de então, o prazo de 03 (três) dias úteis para apresentar as razões, pelo sistema eletrônico, ficando os demais licitantes, desde logo, intimados par</w:t>
      </w:r>
      <w:r>
        <w:rPr>
          <w:rFonts w:ascii="Arial" w:hAnsi="Arial" w:cs="Arial"/>
          <w:color w:val="000000"/>
          <w:sz w:val="24"/>
          <w:szCs w:val="24"/>
        </w:rPr>
        <w:t xml:space="preserve">a, querendo, apresentarem contrarrazões também pelo sistema eletrônico, em outros 03 (três) dias úteis, que começarão a contar do término do prazo do recorrente, sendo-lhes assegurada vista imediata dos elementos indispensáveis à defesa de seus interesses.</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acolhimento do recurso invalida tão somente os atos insuscetíveis de aproveitamento. </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autos do processo permanecerão com vista franqueada aos interessados, no endereço constante neste Edital</w:t>
      </w:r>
      <w:r>
        <w:rPr>
          <w:rFonts w:ascii="Arial" w:hAnsi="Arial" w:cs="Arial"/>
          <w:bCs/>
          <w:iCs/>
          <w:color w:val="000000"/>
          <w:sz w:val="24"/>
          <w:szCs w:val="24"/>
        </w:rPr>
        <w:t xml:space="preserve">.</w:t>
      </w:r>
      <w:r/>
    </w:p>
    <w:p>
      <w:pPr>
        <w:pStyle w:val="856"/>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REABERTURA DA SESSÃO:</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sessão pública poderá ser reaberta: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Quando houver erro na aceitação do preço melhor classificado ou quando o licitante declarado vencedor não assinar o contrato, não </w:t>
      </w:r>
      <w:r>
        <w:rPr>
          <w:rFonts w:ascii="Arial" w:hAnsi="Arial" w:cs="Arial"/>
          <w:color w:val="000000"/>
          <w:sz w:val="24"/>
          <w:szCs w:val="24"/>
        </w:rPr>
        <w:t xml:space="preserve">retirar o instrumento equivalente ou não comprovar a regularização fiscal e trabalhista, nos termos do art. 43, §1º da LC nº 123/2006. Nessas hipóteses, serão adotados os procedimentos imediatamente posteriores ao encerramento da etapa de lances. </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Todos os licitantes remanescentes deverão ser convocados para acompanhar a sessão reaberta.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convocação se dará por meio do sistema eletrônico (“chat”) ou e-mail, ou, de acordo com a fase do procedimento licitatório.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convocação feita por e-mail dar-se-á de acordo com os dados contidos no </w:t>
      </w:r>
      <w:r>
        <w:rPr>
          <w:rFonts w:ascii="Arial" w:hAnsi="Arial" w:cs="Arial"/>
          <w:color w:val="000000"/>
          <w:sz w:val="24"/>
          <w:szCs w:val="24"/>
        </w:rPr>
        <w:t xml:space="preserve">SICAF</w:t>
      </w:r>
      <w:r>
        <w:rPr>
          <w:rFonts w:ascii="Arial" w:hAnsi="Arial" w:cs="Arial"/>
          <w:color w:val="000000"/>
          <w:sz w:val="24"/>
          <w:szCs w:val="24"/>
        </w:rPr>
        <w:t xml:space="preserve">, sendo responsabilidade do licitante manter seus dados cadastrais atualizados.</w:t>
      </w:r>
      <w:r/>
    </w:p>
    <w:p>
      <w:pPr>
        <w:pStyle w:val="856"/>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ADJUDICAÇÃO E HOMOLOGAÇÃO:</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Após a fase recursal, constatada a regularidade dos atos praticados, a autoridade competente homologará o procedimento licitatório.</w:t>
      </w:r>
      <w:r/>
    </w:p>
    <w:p>
      <w:pPr>
        <w:pStyle w:val="856"/>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bookmarkStart w:id="0" w:name="_Hlk34386771"/>
      <w:r>
        <w:rPr>
          <w:rFonts w:ascii="Arial" w:hAnsi="Arial" w:cs="Arial"/>
          <w:b/>
          <w:iCs/>
          <w:color w:val="000000"/>
          <w:sz w:val="24"/>
          <w:szCs w:val="24"/>
        </w:rPr>
        <w:t xml:space="preserve">DA CONTRATAÇÃO: </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Após a homologação da licitação, em sendo realizada a contratação, será firmado Termo de Contrato ou emitido instrumento equivalente.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adjudicatário terá o prazo de 02 (dois) dias úteis, contados a par</w:t>
      </w:r>
      <w:r>
        <w:rPr>
          <w:rFonts w:ascii="Arial" w:hAnsi="Arial" w:cs="Arial"/>
          <w:color w:val="000000"/>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Alternativamente à convocação para comparecer perante o órgão ou entidade para a assinatura do Termo de Contrato ou aceite do instrumento equivalente, a Ad</w:t>
      </w:r>
      <w:r>
        <w:rPr>
          <w:rFonts w:ascii="Arial" w:hAnsi="Arial" w:cs="Arial"/>
          <w:color w:val="000000"/>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prazo previsto no subitem anterior poderá ser prorrogado, por igual período, por solicitação justificada do adjudicatário e aceita pela Administração.</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Aceite da Nota de Empenho ou do instrumento equivalente, emitida à empresa adjudicada, implica no reconhecimento de que: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referida Nota está substituindo o contrato, aplicando-se à relação de negócios ali estabelecida as disposições da Lei nº 8.666, de 1993.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contratada se vincula à sua proposta e às previsões contidas no edital e seus anexos.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contratada reconhece que as hipóteses de rescisão são aquelas previstas nos artigos 77 e 78 da Lei nº 8.666/93 e reconhece os direitos da Administração previstos nos artigos 79 e 80 da mesma Lei.</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Previamente à contratação a Administração realizará consulta ao </w:t>
      </w:r>
      <w:r>
        <w:rPr>
          <w:rFonts w:ascii="Arial" w:hAnsi="Arial" w:cs="Arial"/>
          <w:bCs/>
          <w:iCs/>
          <w:color w:val="000000"/>
          <w:sz w:val="24"/>
          <w:szCs w:val="24"/>
        </w:rPr>
        <w:t xml:space="preserve">SICAF</w:t>
      </w:r>
      <w:r>
        <w:rPr>
          <w:rFonts w:ascii="Arial" w:hAnsi="Arial" w:cs="Arial"/>
          <w:bCs/>
          <w:iCs/>
          <w:color w:val="000000"/>
          <w:sz w:val="24"/>
          <w:szCs w:val="24"/>
        </w:rPr>
        <w:t xml:space="preserve"> para identificar possível suspensão temporária de participação em licitação, no âmbito do órgão ou entidade, proibição de con</w:t>
      </w:r>
      <w:r>
        <w:rPr>
          <w:rFonts w:ascii="Arial" w:hAnsi="Arial" w:cs="Arial"/>
          <w:bCs/>
          <w:iCs/>
          <w:color w:val="000000"/>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Nos casos em que houver necessidade de assinatura do instrumento de contrato, e o fornecedor não estiver inscrito no </w:t>
      </w:r>
      <w:r>
        <w:rPr>
          <w:rFonts w:ascii="Arial" w:hAnsi="Arial" w:cs="Arial"/>
          <w:color w:val="000000"/>
          <w:sz w:val="24"/>
          <w:szCs w:val="24"/>
        </w:rPr>
        <w:t xml:space="preserve">SICAF</w:t>
      </w:r>
      <w:r>
        <w:rPr>
          <w:rFonts w:ascii="Arial" w:hAnsi="Arial" w:cs="Arial"/>
          <w:color w:val="000000"/>
          <w:sz w:val="24"/>
          <w:szCs w:val="24"/>
        </w:rPr>
        <w:t xml:space="preserve">, este deverá proceder ao seu cadastramento, sem ônus, antes da contratação.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 hipótese de irregularidade do registro no </w:t>
      </w:r>
      <w:r>
        <w:rPr>
          <w:rFonts w:ascii="Arial" w:hAnsi="Arial" w:cs="Arial"/>
          <w:color w:val="000000"/>
          <w:sz w:val="24"/>
          <w:szCs w:val="24"/>
        </w:rPr>
        <w:t xml:space="preserve">SICAF</w:t>
      </w:r>
      <w:r>
        <w:rPr>
          <w:rFonts w:ascii="Arial" w:hAnsi="Arial" w:cs="Arial"/>
          <w:color w:val="000000"/>
          <w:sz w:val="24"/>
          <w:szCs w:val="24"/>
        </w:rPr>
        <w:t xml:space="preserve">, o contratado deverá regularizar a sua situação perante o cadastro no prazo de até 05 (cinco) dias úteis, sob pena de aplicação das penalidades previstas no edital e anexos.</w:t>
      </w:r>
      <w:bookmarkEnd w:id="0"/>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Na assinatura do contrato, será exigida a comprovação das condições de habilitação consignadas no edital, que deverão ser mantidas pelo licitante durante a vigência do contrato.</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Na hipótese de o vencedor da licitação não comprovar as condições de habilitação consignadas no edital ou se recusar a assinar o contrato, a Administração, sem prejuízo da aplicação das sanções das demais cominações legais </w:t>
      </w:r>
      <w:r>
        <w:rPr>
          <w:rFonts w:ascii="Arial" w:hAnsi="Arial" w:cs="Arial"/>
          <w:bCs/>
          <w:iCs/>
          <w:color w:val="000000"/>
          <w:sz w:val="24"/>
          <w:szCs w:val="24"/>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pStyle w:val="856"/>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ENTREGA</w:t>
      </w:r>
      <w:r>
        <w:rPr>
          <w:rFonts w:ascii="Arial" w:hAnsi="Arial" w:cs="Arial"/>
          <w:b/>
          <w:iCs/>
          <w:color w:val="000000"/>
          <w:sz w:val="24"/>
          <w:szCs w:val="24"/>
        </w:rPr>
        <w:t xml:space="preserve"> E CRITÉRIOS DE ACEITAÇÃO DO OBJETO</w:t>
      </w:r>
      <w:r>
        <w:rPr>
          <w:rFonts w:ascii="Arial" w:hAnsi="Arial" w:cs="Arial"/>
          <w:b/>
          <w:iCs/>
          <w:color w:val="000000"/>
          <w:sz w:val="24"/>
          <w:szCs w:val="24"/>
        </w:rPr>
        <w:t xml:space="preserve">:</w:t>
      </w:r>
      <w:r/>
    </w:p>
    <w:p>
      <w:pPr>
        <w:pStyle w:val="853"/>
        <w:numPr>
          <w:ilvl w:val="1"/>
          <w:numId w:val="1"/>
        </w:numPr>
        <w:ind w:left="1134" w:right="49" w:hanging="708"/>
        <w:jc w:val="both"/>
        <w:spacing w:after="200" w:line="276" w:lineRule="auto"/>
        <w:tabs>
          <w:tab w:val="left" w:pos="3119" w:leader="none"/>
        </w:tabs>
        <w:rPr>
          <w:rFonts w:ascii="Arial" w:hAnsi="Arial" w:cs="Arial"/>
          <w:b/>
          <w:sz w:val="24"/>
          <w:szCs w:val="24"/>
        </w:rPr>
      </w:pPr>
      <w:r>
        <w:rPr>
          <w:rFonts w:ascii="Arial" w:hAnsi="Arial" w:cs="Arial"/>
          <w:sz w:val="24"/>
          <w:szCs w:val="24"/>
        </w:rPr>
        <w:t xml:space="preserve">A Empresa deverá entregar o material 15 dias corridos após recebimento da Ordem de Compra e do Empenho.</w:t>
      </w:r>
      <w:r/>
    </w:p>
    <w:p>
      <w:pPr>
        <w:pStyle w:val="853"/>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O material deverá ser entregue na Secretaria Municipal de Saúde -Departamento Farmacêutico - situado na Rua </w:t>
      </w:r>
      <w:r>
        <w:rPr>
          <w:rFonts w:ascii="Arial" w:hAnsi="Arial" w:cs="Arial"/>
          <w:sz w:val="24"/>
          <w:szCs w:val="24"/>
        </w:rPr>
        <w:t xml:space="preserve">Julio</w:t>
      </w:r>
      <w:r>
        <w:rPr>
          <w:rFonts w:ascii="Arial" w:hAnsi="Arial" w:cs="Arial"/>
          <w:sz w:val="24"/>
          <w:szCs w:val="24"/>
        </w:rPr>
        <w:t xml:space="preserve"> Rosa, 366 - Tijuca, Teresópolis - RJ, 2575-450, Teresópolis-RJ. Horário: de segunda a sexta-feira de 9:00 às 15:00 horas.</w:t>
      </w:r>
      <w:r/>
    </w:p>
    <w:p>
      <w:pPr>
        <w:pStyle w:val="853"/>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cs="Arial"/>
          <w:sz w:val="24"/>
          <w:szCs w:val="24"/>
        </w:rPr>
        <w:t xml:space="preserve">O recebimento será efetivado nos seguintes termos: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b/>
          <w:bCs/>
          <w:color w:val="000000"/>
          <w:sz w:val="24"/>
          <w:szCs w:val="24"/>
        </w:rPr>
        <w:t xml:space="preserve">PROVISORIAMENTE,</w:t>
      </w:r>
      <w:r>
        <w:rPr>
          <w:rFonts w:ascii="Arial" w:hAnsi="Arial" w:cs="Arial"/>
          <w:color w:val="000000"/>
          <w:sz w:val="24"/>
          <w:szCs w:val="24"/>
        </w:rPr>
        <w:t xml:space="preserve"> para efeito de posterior verificação do produto ofertado com as especificações constantes neste Termo de Referência, e similaridade com as amostras aprovadas no certame.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b/>
          <w:bCs/>
          <w:color w:val="000000"/>
          <w:sz w:val="24"/>
          <w:szCs w:val="24"/>
        </w:rPr>
        <w:t xml:space="preserve">DEFINITIVAMENTE,</w:t>
      </w:r>
      <w:r>
        <w:rPr>
          <w:rFonts w:ascii="Arial" w:hAnsi="Arial" w:cs="Arial"/>
          <w:color w:val="000000"/>
          <w:sz w:val="24"/>
          <w:szCs w:val="24"/>
        </w:rPr>
        <w:t xml:space="preserve"> após a verificação da qualidade e quantidade do produto e consequente aceitação pelo Setor Competente.</w:t>
      </w:r>
      <w:r/>
    </w:p>
    <w:p>
      <w:pPr>
        <w:pStyle w:val="856"/>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OBRIGAÇÕES DA CONTRATANTE:</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Receber o </w:t>
      </w:r>
      <w:r>
        <w:rPr>
          <w:rFonts w:ascii="Arial" w:hAnsi="Arial" w:cs="Arial"/>
          <w:bCs/>
          <w:iCs/>
          <w:color w:val="000000"/>
          <w:sz w:val="24"/>
          <w:szCs w:val="24"/>
        </w:rPr>
        <w:t xml:space="preserve">material</w:t>
      </w:r>
      <w:r>
        <w:rPr>
          <w:rFonts w:ascii="Arial" w:hAnsi="Arial" w:cs="Arial"/>
          <w:bCs/>
          <w:iCs/>
          <w:color w:val="000000"/>
          <w:sz w:val="24"/>
          <w:szCs w:val="24"/>
        </w:rPr>
        <w:t xml:space="preserve">, conforme local, data e horário estipulados no Empenho.</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Acompanhar e fiscalizar o cumprimento das obrigações da Contratada, através de comissão/servidor especialmente designado</w:t>
      </w:r>
      <w:r>
        <w:rPr>
          <w:rFonts w:ascii="Arial" w:hAnsi="Arial" w:cs="Arial"/>
          <w:bCs/>
          <w:iCs/>
          <w:color w:val="000000"/>
          <w:sz w:val="24"/>
          <w:szCs w:val="24"/>
        </w:rPr>
        <w:t xml:space="preserve">, </w:t>
      </w:r>
      <w:r>
        <w:rPr>
          <w:rFonts w:ascii="Arial" w:hAnsi="Arial" w:cs="Arial"/>
          <w:bCs/>
          <w:iCs/>
          <w:color w:val="000000"/>
          <w:sz w:val="24"/>
          <w:szCs w:val="24"/>
        </w:rPr>
        <w:t xml:space="preserve">ao qual competirá dirimir as dúvidas que surgirem e de tudo dará ciência à Administração;</w:t>
      </w:r>
      <w:r/>
    </w:p>
    <w:p>
      <w:pPr>
        <w:pStyle w:val="853"/>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Efetuar o pagamento no prazo previsto.</w:t>
      </w:r>
      <w:r/>
    </w:p>
    <w:p>
      <w:pPr>
        <w:pStyle w:val="856"/>
        <w:numPr>
          <w:ilvl w:val="0"/>
          <w:numId w:val="1"/>
        </w:numPr>
        <w:contextualSpacing w:val="0"/>
        <w:ind w:left="284" w:right="49"/>
        <w:jc w:val="both"/>
        <w:spacing w:after="240" w:line="276" w:lineRule="auto"/>
        <w:widowControl w:val="off"/>
        <w:tabs>
          <w:tab w:val="left" w:pos="284" w:leader="none"/>
        </w:tabs>
        <w:rPr>
          <w:rFonts w:ascii="Arial" w:hAnsi="Arial" w:cs="Arial"/>
          <w:b/>
          <w:sz w:val="24"/>
          <w:szCs w:val="24"/>
        </w:rPr>
      </w:pPr>
      <w:r>
        <w:rPr>
          <w:rFonts w:ascii="Arial" w:hAnsi="Arial" w:cs="Arial"/>
          <w:b/>
        </w:rPr>
        <w:t xml:space="preserve">OBRIGAÇÕES DA</w:t>
      </w:r>
      <w:r>
        <w:rPr>
          <w:rFonts w:ascii="Arial" w:hAnsi="Arial" w:cs="Arial"/>
          <w:b/>
          <w:spacing w:val="-9"/>
        </w:rPr>
        <w:t xml:space="preserve"> </w:t>
      </w:r>
      <w:r>
        <w:rPr>
          <w:rFonts w:ascii="Arial" w:hAnsi="Arial" w:cs="Arial"/>
          <w:b/>
        </w:rPr>
        <w:t xml:space="preserve">CONTRATADA</w:t>
      </w:r>
      <w:r>
        <w:rPr>
          <w:rFonts w:ascii="Arial" w:hAnsi="Arial" w:cs="Arial"/>
          <w:b/>
        </w:rPr>
        <w:t xml:space="preserve">:</w:t>
      </w:r>
      <w:r/>
    </w:p>
    <w:p>
      <w:pPr>
        <w:pStyle w:val="853"/>
        <w:numPr>
          <w:ilvl w:val="1"/>
          <w:numId w:val="1"/>
        </w:numPr>
        <w:ind w:left="1134" w:right="49" w:hanging="708"/>
        <w:jc w:val="both"/>
        <w:spacing w:after="200" w:line="276" w:lineRule="auto"/>
        <w:tabs>
          <w:tab w:val="left" w:pos="3119" w:leader="none"/>
        </w:tabs>
        <w:rPr>
          <w:rFonts w:ascii="Arial" w:hAnsi="Arial" w:cs="Arial"/>
          <w:sz w:val="24"/>
          <w:szCs w:val="24"/>
        </w:rPr>
      </w:pPr>
      <w:r>
        <w:rPr>
          <w:rFonts w:ascii="Arial" w:hAnsi="Arial" w:eastAsia="Arial Unicode MS" w:cs="Arial"/>
          <w:bCs/>
          <w:sz w:val="24"/>
          <w:szCs w:val="24"/>
          <w:lang w:eastAsia="pt-BR"/>
        </w:rPr>
        <w:t xml:space="preserve">Fornecer os produtos conforme especificados neste termo, acompanhado da respectiva nota fiscal constando detalhadamente a indicação: da quantidade, marca /fabricante fornecida, lote</w:t>
      </w:r>
      <w:r>
        <w:rPr>
          <w:rFonts w:ascii="Arial" w:hAnsi="Arial" w:eastAsia="Arial Unicode MS" w:cs="Arial"/>
          <w:bCs/>
          <w:sz w:val="24"/>
          <w:szCs w:val="24"/>
          <w:lang w:eastAsia="pt-BR"/>
        </w:rPr>
        <w:t xml:space="preserve"> e validade. A referida Nota fiscal deverá ser emitida para Fundo Municipal de Saúde de Teresópolis, CNPJ 11.274.201/0001-01, endereço Rua Júlio Rosa nº 366 – Tijuca – Teresópolis/RJ – CEP 25975-450 e deverá conter os dados bancários para futuro pagamento;</w:t>
      </w:r>
      <w:r/>
    </w:p>
    <w:p>
      <w:pPr>
        <w:pStyle w:val="853"/>
        <w:numPr>
          <w:ilvl w:val="1"/>
          <w:numId w:val="1"/>
        </w:numPr>
        <w:ind w:left="1134" w:right="49" w:hanging="708"/>
        <w:jc w:val="both"/>
        <w:spacing w:after="200" w:line="276" w:lineRule="auto"/>
        <w:tabs>
          <w:tab w:val="left" w:pos="3119" w:leader="none"/>
        </w:tabs>
        <w:rPr>
          <w:rFonts w:ascii="Arial" w:hAnsi="Arial" w:eastAsia="Arial Unicode MS" w:cs="Arial"/>
          <w:bCs/>
          <w:sz w:val="24"/>
          <w:szCs w:val="24"/>
          <w:lang w:eastAsia="pt-BR"/>
        </w:rPr>
      </w:pPr>
      <w:r>
        <w:rPr>
          <w:rFonts w:ascii="Arial" w:hAnsi="Arial" w:eastAsia="Arial Unicode MS" w:cs="Arial"/>
          <w:bCs/>
          <w:sz w:val="24"/>
          <w:szCs w:val="24"/>
          <w:lang w:eastAsia="pt-BR"/>
        </w:rPr>
        <w:t xml:space="preserve">O prazo de validade dos insumos/medicamentos deverá ser de no mínimo 1(um) ano a partir da data de entrega;</w:t>
      </w:r>
      <w:r/>
    </w:p>
    <w:p>
      <w:pPr>
        <w:pStyle w:val="853"/>
        <w:numPr>
          <w:ilvl w:val="1"/>
          <w:numId w:val="1"/>
        </w:numPr>
        <w:ind w:left="1134" w:right="49" w:hanging="708"/>
        <w:jc w:val="both"/>
        <w:spacing w:after="200" w:line="276" w:lineRule="auto"/>
        <w:tabs>
          <w:tab w:val="left" w:pos="3119" w:leader="none"/>
        </w:tabs>
        <w:rPr>
          <w:rFonts w:ascii="Arial" w:hAnsi="Arial" w:eastAsia="Arial Unicode MS" w:cs="Arial"/>
          <w:bCs/>
          <w:sz w:val="24"/>
          <w:szCs w:val="24"/>
          <w:lang w:eastAsia="pt-BR"/>
        </w:rPr>
      </w:pPr>
      <w:r>
        <w:rPr>
          <w:rFonts w:ascii="Arial" w:hAnsi="Arial" w:eastAsia="Arial Unicode MS" w:cs="Arial"/>
          <w:bCs/>
          <w:sz w:val="24"/>
          <w:szCs w:val="24"/>
          <w:lang w:eastAsia="pt-BR"/>
        </w:rPr>
        <w:t xml:space="preserve">Responsabilizar-se por todos os prejuízos que porventura ocasione ao Município ou a terceiros, em razão da execução do fornecimento decorrente do objeto do Edital;</w:t>
      </w:r>
      <w:r/>
    </w:p>
    <w:p>
      <w:pPr>
        <w:pStyle w:val="853"/>
        <w:numPr>
          <w:ilvl w:val="1"/>
          <w:numId w:val="1"/>
        </w:numPr>
        <w:ind w:left="1134" w:right="49" w:hanging="708"/>
        <w:jc w:val="both"/>
        <w:spacing w:after="200" w:line="276" w:lineRule="auto"/>
        <w:tabs>
          <w:tab w:val="left" w:pos="3119" w:leader="none"/>
        </w:tabs>
        <w:rPr>
          <w:rFonts w:ascii="Arial" w:hAnsi="Arial" w:eastAsia="Arial Unicode MS" w:cs="Arial"/>
          <w:bCs/>
          <w:sz w:val="24"/>
          <w:szCs w:val="24"/>
          <w:lang w:eastAsia="pt-BR"/>
        </w:rPr>
      </w:pPr>
      <w:r>
        <w:rPr>
          <w:rFonts w:ascii="Arial" w:hAnsi="Arial" w:eastAsia="Arial Unicode MS" w:cs="Arial"/>
          <w:bCs/>
          <w:sz w:val="24"/>
          <w:szCs w:val="24"/>
          <w:lang w:eastAsia="pt-BR"/>
        </w:rPr>
        <w:t xml:space="preserve">Comunicar ao Departamento Farmacêutico através do e-mail: farmaciasmstere@gmail.com, qualquer problema eventual referente ao prazo para entregas;</w:t>
      </w:r>
      <w:r/>
    </w:p>
    <w:p>
      <w:pPr>
        <w:pStyle w:val="853"/>
        <w:numPr>
          <w:ilvl w:val="1"/>
          <w:numId w:val="1"/>
        </w:numPr>
        <w:ind w:left="1134" w:right="49" w:hanging="708"/>
        <w:jc w:val="both"/>
        <w:spacing w:after="200" w:line="276" w:lineRule="auto"/>
        <w:tabs>
          <w:tab w:val="left" w:pos="3119" w:leader="none"/>
        </w:tabs>
        <w:rPr>
          <w:rFonts w:ascii="Arial" w:hAnsi="Arial" w:eastAsia="Arial Unicode MS" w:cs="Arial"/>
          <w:bCs/>
          <w:sz w:val="24"/>
          <w:szCs w:val="24"/>
          <w:lang w:eastAsia="pt-BR"/>
        </w:rPr>
      </w:pPr>
      <w:r>
        <w:rPr>
          <w:rFonts w:ascii="Arial" w:hAnsi="Arial" w:eastAsia="Arial Unicode MS" w:cs="Arial"/>
          <w:bCs/>
          <w:sz w:val="24"/>
          <w:szCs w:val="24"/>
          <w:lang w:eastAsia="pt-BR"/>
        </w:rPr>
        <w:t xml:space="preserve">Responsabilizar-se pelas despesas comerciais, taxas, fretes, seguros, deslocamentos de pessoal e quaisquer outras que incidam ou venham a incidir na execução do contrato.</w:t>
      </w:r>
      <w:r/>
    </w:p>
    <w:p>
      <w:pPr>
        <w:pStyle w:val="853"/>
        <w:numPr>
          <w:ilvl w:val="1"/>
          <w:numId w:val="1"/>
        </w:numPr>
        <w:ind w:left="1134" w:right="49" w:hanging="708"/>
        <w:jc w:val="both"/>
        <w:spacing w:after="200" w:line="276" w:lineRule="auto"/>
        <w:tabs>
          <w:tab w:val="left" w:pos="3119" w:leader="none"/>
        </w:tabs>
        <w:rPr>
          <w:rFonts w:ascii="Arial" w:hAnsi="Arial" w:eastAsia="Arial Unicode MS" w:cs="Arial"/>
          <w:bCs/>
          <w:sz w:val="24"/>
          <w:szCs w:val="24"/>
          <w:lang w:eastAsia="pt-BR"/>
        </w:rPr>
      </w:pPr>
      <w:r>
        <w:rPr>
          <w:rFonts w:ascii="Arial" w:hAnsi="Arial" w:eastAsia="Arial Unicode MS" w:cs="Arial"/>
          <w:bCs/>
          <w:sz w:val="24"/>
          <w:szCs w:val="24"/>
          <w:lang w:eastAsia="pt-BR"/>
        </w:rPr>
        <w:t xml:space="preserve">Informar ao Departamento Farmacêutico através do e-mail: farmaciasmstere@gmail.com, o(s) telefone(s) e </w:t>
      </w:r>
      <w:r>
        <w:rPr>
          <w:rFonts w:ascii="Arial" w:hAnsi="Arial" w:eastAsia="Arial Unicode MS" w:cs="Arial"/>
          <w:bCs/>
          <w:sz w:val="24"/>
          <w:szCs w:val="24"/>
          <w:lang w:eastAsia="pt-BR"/>
        </w:rPr>
        <w:t xml:space="preserve">email</w:t>
      </w:r>
      <w:r>
        <w:rPr>
          <w:rFonts w:ascii="Arial" w:hAnsi="Arial" w:eastAsia="Arial Unicode MS" w:cs="Arial"/>
          <w:bCs/>
          <w:sz w:val="24"/>
          <w:szCs w:val="24"/>
          <w:lang w:eastAsia="pt-BR"/>
        </w:rPr>
        <w:t xml:space="preserve"> de contato para posterior envio do Empenho e Ordem de Compra;</w:t>
      </w:r>
      <w:r/>
    </w:p>
    <w:p>
      <w:pPr>
        <w:pStyle w:val="856"/>
        <w:numPr>
          <w:ilvl w:val="0"/>
          <w:numId w:val="1"/>
        </w:numPr>
        <w:contextualSpacing w:val="0"/>
        <w:ind w:left="284" w:right="49"/>
        <w:jc w:val="both"/>
        <w:spacing w:after="240" w:line="276" w:lineRule="auto"/>
        <w:widowControl w:val="off"/>
        <w:tabs>
          <w:tab w:val="left" w:pos="284" w:leader="none"/>
        </w:tabs>
        <w:rPr>
          <w:rFonts w:ascii="Arial" w:hAnsi="Arial" w:cs="Arial"/>
          <w:b/>
        </w:rPr>
      </w:pPr>
      <w:r>
        <w:rPr>
          <w:rFonts w:ascii="Arial" w:hAnsi="Arial" w:cs="Arial"/>
          <w:b/>
        </w:rPr>
        <w:t xml:space="preserve">DO CONTROLE E FISCALIZAÇÃO DA EXECUÇÃO</w:t>
      </w:r>
      <w:r>
        <w:rPr>
          <w:rFonts w:ascii="Arial" w:hAnsi="Arial" w:cs="Arial"/>
          <w:b/>
        </w:rPr>
        <w:t xml:space="preserve">:</w:t>
      </w:r>
      <w:r/>
    </w:p>
    <w:p>
      <w:pPr>
        <w:pStyle w:val="856"/>
        <w:numPr>
          <w:ilvl w:val="1"/>
          <w:numId w:val="1"/>
        </w:numPr>
        <w:contextualSpacing w:val="0"/>
        <w:ind w:left="851" w:right="49"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A fiscalização e o recebimento definitivo do objeto deste Edital serão feitos pel</w:t>
      </w: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Secretaria</w:t>
      </w:r>
      <w:r>
        <w:rPr>
          <w:rFonts w:ascii="Arial" w:hAnsi="Arial" w:cs="Arial"/>
          <w:sz w:val="24"/>
          <w:szCs w:val="24"/>
        </w:rPr>
        <w:t xml:space="preserve"> Municipal de </w:t>
      </w:r>
      <w:r>
        <w:rPr>
          <w:rFonts w:ascii="Arial" w:hAnsi="Arial" w:cs="Arial"/>
          <w:sz w:val="24"/>
          <w:szCs w:val="24"/>
        </w:rPr>
        <w:t xml:space="preserve">Saúde de Teresópolis</w:t>
      </w:r>
      <w:r>
        <w:rPr>
          <w:rFonts w:ascii="Arial" w:hAnsi="Arial" w:cs="Arial"/>
          <w:sz w:val="24"/>
          <w:szCs w:val="24"/>
        </w:rPr>
        <w:t xml:space="preserve">.</w:t>
      </w:r>
      <w:r/>
    </w:p>
    <w:p>
      <w:pPr>
        <w:pStyle w:val="856"/>
        <w:numPr>
          <w:ilvl w:val="1"/>
          <w:numId w:val="1"/>
        </w:numPr>
        <w:contextualSpacing w:val="0"/>
        <w:ind w:left="851" w:right="49"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Caso os materiais entregues apresentem alguma irregularidade, estes serão recusados, cabendo à empresa vencedora substituí-los por outros com as mesmas características exigidas, no prazo de 10 (dez) dias corridos. </w:t>
      </w:r>
      <w:r/>
    </w:p>
    <w:p>
      <w:pPr>
        <w:pStyle w:val="856"/>
        <w:numPr>
          <w:ilvl w:val="1"/>
          <w:numId w:val="1"/>
        </w:numPr>
        <w:contextualSpacing w:val="0"/>
        <w:ind w:left="851" w:right="49"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O fiscal do contrato da Secretaria Municipal de Saúde registrará todas as ocorrências, determinando o que for necessário à regularização das faltas observadas.</w:t>
      </w:r>
      <w:r/>
    </w:p>
    <w:p>
      <w:pPr>
        <w:pStyle w:val="856"/>
        <w:numPr>
          <w:ilvl w:val="0"/>
          <w:numId w:val="1"/>
        </w:numPr>
        <w:contextualSpacing w:val="0"/>
        <w:ind w:left="284" w:right="49"/>
        <w:jc w:val="both"/>
        <w:spacing w:after="240" w:line="276" w:lineRule="auto"/>
        <w:widowControl w:val="off"/>
        <w:tabs>
          <w:tab w:val="left" w:pos="284" w:leader="none"/>
        </w:tabs>
        <w:rPr>
          <w:rFonts w:ascii="Arial" w:hAnsi="Arial" w:cs="Arial"/>
          <w:b/>
        </w:rPr>
      </w:pPr>
      <w:r>
        <w:rPr>
          <w:rFonts w:ascii="Arial" w:hAnsi="Arial" w:cs="Arial"/>
          <w:b/>
        </w:rPr>
        <w:t xml:space="preserve">DO PAGAMENTO</w:t>
      </w:r>
      <w:r>
        <w:rPr>
          <w:rFonts w:ascii="Arial" w:hAnsi="Arial" w:cs="Arial"/>
          <w:b/>
        </w:rPr>
        <w:t xml:space="preserve">:</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O pagamento será efetuado no prazo máximo de até 30 (trinta) dias após a abertura do processo de pagamento que deverá ser realizada na forma digital, através do link: </w:t>
      </w:r>
      <w:hyperlink r:id="rId20" w:tooltip="https://teresopolis.1doc.com.br/b.php?pg=wp/wp&amp;itd=5" w:history="1">
        <w:r>
          <w:rPr>
            <w:rStyle w:val="854"/>
            <w:rFonts w:ascii="Arial" w:hAnsi="Arial" w:eastAsia="Arial" w:cs="Arial"/>
            <w:sz w:val="24"/>
            <w:szCs w:val="24"/>
          </w:rPr>
          <w:t xml:space="preserve">https://teresopolis.1doc.com.br/b.php?pg=wp/wp&amp;itd=5</w:t>
        </w:r>
      </w:hyperlink>
      <w:r>
        <w:rPr>
          <w:rFonts w:ascii="Arial" w:hAnsi="Arial" w:eastAsia="Arial" w:cs="Arial"/>
          <w:sz w:val="24"/>
          <w:szCs w:val="24"/>
        </w:rPr>
        <w:t xml:space="preserve">,  devendo constar toda documentação abaixo elencada:</w:t>
      </w:r>
      <w:r/>
    </w:p>
    <w:p>
      <w:pPr>
        <w:pStyle w:val="856"/>
        <w:numPr>
          <w:ilvl w:val="2"/>
          <w:numId w:val="1"/>
        </w:numPr>
        <w:contextualSpacing w:val="0"/>
        <w:ind w:left="1701" w:right="49" w:hanging="851"/>
        <w:jc w:val="both"/>
        <w:spacing w:line="276" w:lineRule="auto"/>
        <w:widowControl w:val="off"/>
        <w:tabs>
          <w:tab w:val="left" w:pos="1701" w:leader="none"/>
        </w:tabs>
        <w:rPr>
          <w:rFonts w:ascii="Arial" w:hAnsi="Arial" w:eastAsia="Arial" w:cs="Arial"/>
          <w:sz w:val="24"/>
          <w:szCs w:val="24"/>
        </w:rPr>
      </w:pPr>
      <w:r>
        <w:rPr>
          <w:rFonts w:ascii="Arial" w:hAnsi="Arial" w:eastAsia="Arial" w:cs="Arial"/>
          <w:sz w:val="24"/>
          <w:szCs w:val="24"/>
        </w:rPr>
        <w:t xml:space="preserve">A Contratada deverá ainda apresentar a Documentação de Regularidade Fiscal com as Fazendas Federal, Estadual, Municipal, Certificado de Regularidade de situação relativo aos FGTS, Certidão Negativa de Débitos Trabalhistas juntamente com a Nota Fiscal.</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w:t>
      </w:r>
      <w:r>
        <w:rPr>
          <w:rFonts w:ascii="Arial" w:hAnsi="Arial" w:cs="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w:t>
      </w:r>
      <w:r>
        <w:rPr>
          <w:rFonts w:ascii="Arial" w:hAnsi="Arial" w:cs="Arial"/>
          <w:sz w:val="24"/>
          <w:szCs w:val="24"/>
        </w:rPr>
        <w:t xml:space="preserve">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Constatando-se, junto ao </w:t>
      </w:r>
      <w:r>
        <w:rPr>
          <w:rFonts w:ascii="Arial" w:hAnsi="Arial" w:cs="Arial"/>
          <w:sz w:val="24"/>
          <w:szCs w:val="24"/>
        </w:rPr>
        <w:t xml:space="preserve">SICAF</w:t>
      </w:r>
      <w:r>
        <w:rPr>
          <w:rFonts w:ascii="Arial" w:hAnsi="Arial" w:cs="Arial"/>
          <w:sz w:val="24"/>
          <w:szCs w:val="24"/>
        </w:rPr>
        <w:t xml:space="preserve">, a situação de irre</w:t>
      </w:r>
      <w:r>
        <w:rPr>
          <w:rFonts w:ascii="Arial" w:hAnsi="Arial" w:cs="Arial"/>
          <w:sz w:val="24"/>
          <w:szCs w:val="24"/>
        </w:rPr>
        <w:t xml:space="preserve">gularidade da contratada, será providenciada sua notificação, por escrito, para que, no prazo de 5 (cinco) dias úteis, regularize sua situação ou, no mesmo prazo, apresente sua defesa. O prazo poderá ser prorrogado uma vez, por igual período, a critério da</w:t>
      </w:r>
      <w:r>
        <w:rPr>
          <w:rFonts w:ascii="Arial" w:hAnsi="Arial" w:cs="Arial"/>
          <w:sz w:val="24"/>
          <w:szCs w:val="24"/>
        </w:rPr>
        <w:t xml:space="preserve"> </w:t>
      </w:r>
      <w:r>
        <w:rPr>
          <w:rFonts w:ascii="Arial" w:hAnsi="Arial" w:cs="Arial"/>
          <w:sz w:val="24"/>
          <w:szCs w:val="24"/>
        </w:rPr>
        <w:t xml:space="preserve">contratante.</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Previamente</w:t>
      </w:r>
      <w:r>
        <w:rPr>
          <w:rFonts w:ascii="Arial" w:hAnsi="Arial" w:cs="Arial"/>
          <w:sz w:val="24"/>
          <w:szCs w:val="24"/>
        </w:rPr>
        <w:t xml:space="preserve"> </w:t>
      </w:r>
      <w:r>
        <w:rPr>
          <w:rFonts w:ascii="Arial" w:hAnsi="Arial" w:cs="Arial"/>
          <w:sz w:val="24"/>
          <w:szCs w:val="24"/>
        </w:rPr>
        <w:t xml:space="preserve">à</w:t>
      </w:r>
      <w:r>
        <w:rPr>
          <w:rFonts w:ascii="Arial" w:hAnsi="Arial" w:cs="Arial"/>
          <w:sz w:val="24"/>
          <w:szCs w:val="24"/>
        </w:rPr>
        <w:t xml:space="preserve"> </w:t>
      </w:r>
      <w:r>
        <w:rPr>
          <w:rFonts w:ascii="Arial" w:hAnsi="Arial" w:cs="Arial"/>
          <w:sz w:val="24"/>
          <w:szCs w:val="24"/>
        </w:rPr>
        <w:t xml:space="preserve">emissão</w:t>
      </w:r>
      <w:r>
        <w:rPr>
          <w:rFonts w:ascii="Arial" w:hAnsi="Arial" w:cs="Arial"/>
          <w:sz w:val="24"/>
          <w:szCs w:val="24"/>
        </w:rPr>
        <w:t xml:space="preserve">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nota</w:t>
      </w:r>
      <w:r>
        <w:rPr>
          <w:rFonts w:ascii="Arial" w:hAnsi="Arial" w:cs="Arial"/>
          <w:sz w:val="24"/>
          <w:szCs w:val="24"/>
        </w:rPr>
        <w:t xml:space="preserve">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empenho</w:t>
      </w:r>
      <w:r>
        <w:rPr>
          <w:rFonts w:ascii="Arial" w:hAnsi="Arial" w:cs="Arial"/>
          <w:sz w:val="24"/>
          <w:szCs w:val="24"/>
        </w:rPr>
        <w:t xml:space="preserve"> </w:t>
      </w:r>
      <w:r>
        <w:rPr>
          <w:rFonts w:ascii="Arial" w:hAnsi="Arial" w:cs="Arial"/>
          <w:sz w:val="24"/>
          <w:szCs w:val="24"/>
        </w:rPr>
        <w:t xml:space="preserve">e</w:t>
      </w:r>
      <w:r>
        <w:rPr>
          <w:rFonts w:ascii="Arial" w:hAnsi="Arial" w:cs="Arial"/>
          <w:sz w:val="24"/>
          <w:szCs w:val="24"/>
        </w:rPr>
        <w:t xml:space="preserve"> </w:t>
      </w: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cada</w:t>
      </w:r>
      <w:r>
        <w:rPr>
          <w:rFonts w:ascii="Arial" w:hAnsi="Arial" w:cs="Arial"/>
          <w:sz w:val="24"/>
          <w:szCs w:val="24"/>
        </w:rPr>
        <w:t xml:space="preserve"> </w:t>
      </w:r>
      <w:r>
        <w:rPr>
          <w:rFonts w:ascii="Arial" w:hAnsi="Arial" w:cs="Arial"/>
          <w:sz w:val="24"/>
          <w:szCs w:val="24"/>
        </w:rPr>
        <w:t xml:space="preserve">pagamento,</w:t>
      </w:r>
      <w:r>
        <w:rPr>
          <w:rFonts w:ascii="Arial" w:hAnsi="Arial" w:cs="Arial"/>
          <w:sz w:val="24"/>
          <w:szCs w:val="24"/>
        </w:rPr>
        <w:t xml:space="preserve"> </w:t>
      </w: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Administração</w:t>
      </w:r>
      <w:r>
        <w:rPr>
          <w:rFonts w:ascii="Arial" w:hAnsi="Arial" w:cs="Arial"/>
          <w:sz w:val="24"/>
          <w:szCs w:val="24"/>
        </w:rPr>
        <w:t xml:space="preserve"> </w:t>
      </w:r>
      <w:r>
        <w:rPr>
          <w:rFonts w:ascii="Arial" w:hAnsi="Arial" w:cs="Arial"/>
          <w:sz w:val="24"/>
          <w:szCs w:val="24"/>
        </w:rPr>
        <w:t xml:space="preserve">deverá</w:t>
      </w:r>
      <w:r>
        <w:rPr>
          <w:rFonts w:ascii="Arial" w:hAnsi="Arial" w:cs="Arial"/>
          <w:sz w:val="24"/>
          <w:szCs w:val="24"/>
        </w:rPr>
        <w:t xml:space="preserve"> </w:t>
      </w:r>
      <w:r>
        <w:rPr>
          <w:rFonts w:ascii="Arial" w:hAnsi="Arial" w:cs="Arial"/>
          <w:sz w:val="24"/>
          <w:szCs w:val="24"/>
        </w:rPr>
        <w:t xml:space="preserve">realizar</w:t>
      </w:r>
      <w:r>
        <w:rPr>
          <w:rFonts w:ascii="Arial" w:hAnsi="Arial" w:cs="Arial"/>
          <w:sz w:val="24"/>
          <w:szCs w:val="24"/>
        </w:rPr>
        <w:t xml:space="preserve"> </w:t>
      </w:r>
      <w:r>
        <w:rPr>
          <w:rFonts w:ascii="Arial" w:hAnsi="Arial" w:cs="Arial"/>
          <w:sz w:val="24"/>
          <w:szCs w:val="24"/>
        </w:rPr>
        <w:t xml:space="preserve">consulta</w:t>
      </w:r>
      <w:r>
        <w:rPr>
          <w:rFonts w:ascii="Arial" w:hAnsi="Arial" w:cs="Arial"/>
          <w:sz w:val="24"/>
          <w:szCs w:val="24"/>
        </w:rPr>
        <w:t xml:space="preserve"> </w:t>
      </w:r>
      <w:r>
        <w:rPr>
          <w:rFonts w:ascii="Arial" w:hAnsi="Arial" w:cs="Arial"/>
          <w:sz w:val="24"/>
          <w:szCs w:val="24"/>
        </w:rPr>
        <w:t xml:space="preserve">ao</w:t>
      </w:r>
      <w:r>
        <w:rPr>
          <w:rFonts w:ascii="Arial" w:hAnsi="Arial" w:cs="Arial"/>
          <w:sz w:val="24"/>
          <w:szCs w:val="24"/>
        </w:rPr>
        <w:t xml:space="preserve"> </w:t>
      </w:r>
      <w:r>
        <w:rPr>
          <w:rFonts w:ascii="Arial" w:hAnsi="Arial" w:cs="Arial"/>
          <w:sz w:val="24"/>
          <w:szCs w:val="24"/>
        </w:rPr>
        <w:t xml:space="preserve">SICAF</w:t>
      </w:r>
      <w:r>
        <w:rPr>
          <w:rFonts w:ascii="Arial" w:hAnsi="Arial" w:cs="Arial"/>
          <w:sz w:val="24"/>
          <w:szCs w:val="24"/>
        </w:rPr>
        <w:t xml:space="preserve"> </w:t>
      </w:r>
      <w:r>
        <w:rPr>
          <w:rFonts w:ascii="Arial" w:hAnsi="Arial" w:cs="Arial"/>
          <w:sz w:val="24"/>
          <w:szCs w:val="24"/>
        </w:rPr>
        <w:t xml:space="preserve">para</w:t>
      </w:r>
      <w:r>
        <w:rPr>
          <w:rFonts w:ascii="Arial" w:hAnsi="Arial" w:cs="Arial"/>
          <w:sz w:val="24"/>
          <w:szCs w:val="24"/>
        </w:rPr>
        <w:t xml:space="preserve"> </w:t>
      </w:r>
      <w:r>
        <w:rPr>
          <w:rFonts w:ascii="Arial" w:hAnsi="Arial" w:cs="Arial"/>
          <w:sz w:val="24"/>
          <w:szCs w:val="24"/>
        </w:rPr>
        <w:t xml:space="preserve">identificar</w:t>
      </w:r>
      <w:r>
        <w:rPr>
          <w:rFonts w:ascii="Arial" w:hAnsi="Arial" w:cs="Arial"/>
          <w:sz w:val="24"/>
          <w:szCs w:val="24"/>
        </w:rPr>
        <w:t xml:space="preserve"> </w:t>
      </w:r>
      <w:r>
        <w:rPr>
          <w:rFonts w:ascii="Arial" w:hAnsi="Arial" w:cs="Arial"/>
          <w:sz w:val="24"/>
          <w:szCs w:val="24"/>
        </w:rPr>
        <w:t xml:space="preserve">possível</w:t>
      </w:r>
      <w:r>
        <w:rPr>
          <w:rFonts w:ascii="Arial" w:hAnsi="Arial" w:cs="Arial"/>
          <w:sz w:val="24"/>
          <w:szCs w:val="24"/>
        </w:rPr>
        <w:t xml:space="preserve"> </w:t>
      </w:r>
      <w:r>
        <w:rPr>
          <w:rFonts w:ascii="Arial" w:hAnsi="Arial" w:cs="Arial"/>
          <w:sz w:val="24"/>
          <w:szCs w:val="24"/>
        </w:rPr>
        <w:t xml:space="preserve">suspensão temporária</w:t>
      </w:r>
      <w:r>
        <w:rPr>
          <w:rFonts w:ascii="Arial" w:hAnsi="Arial" w:cs="Arial"/>
          <w:sz w:val="24"/>
          <w:szCs w:val="24"/>
        </w:rPr>
        <w:t xml:space="preserve">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participação</w:t>
      </w:r>
      <w:r>
        <w:rPr>
          <w:rFonts w:ascii="Arial" w:hAnsi="Arial" w:cs="Arial"/>
          <w:sz w:val="24"/>
          <w:szCs w:val="24"/>
        </w:rPr>
        <w:t xml:space="preserve"> </w:t>
      </w:r>
      <w:r>
        <w:rPr>
          <w:rFonts w:ascii="Arial" w:hAnsi="Arial" w:cs="Arial"/>
          <w:sz w:val="24"/>
          <w:szCs w:val="24"/>
        </w:rPr>
        <w:t xml:space="preserve">em</w:t>
      </w:r>
      <w:r>
        <w:rPr>
          <w:rFonts w:ascii="Arial" w:hAnsi="Arial" w:cs="Arial"/>
          <w:sz w:val="24"/>
          <w:szCs w:val="24"/>
        </w:rPr>
        <w:t xml:space="preserve"> </w:t>
      </w:r>
      <w:r>
        <w:rPr>
          <w:rFonts w:ascii="Arial" w:hAnsi="Arial" w:cs="Arial"/>
          <w:sz w:val="24"/>
          <w:szCs w:val="24"/>
        </w:rPr>
        <w:t xml:space="preserve">licitação,</w:t>
      </w:r>
      <w:r>
        <w:rPr>
          <w:rFonts w:ascii="Arial" w:hAnsi="Arial" w:cs="Arial"/>
          <w:sz w:val="24"/>
          <w:szCs w:val="24"/>
        </w:rPr>
        <w:t xml:space="preserve"> </w:t>
      </w:r>
      <w:r>
        <w:rPr>
          <w:rFonts w:ascii="Arial" w:hAnsi="Arial" w:cs="Arial"/>
          <w:sz w:val="24"/>
          <w:szCs w:val="24"/>
        </w:rPr>
        <w:t xml:space="preserve">no</w:t>
      </w:r>
      <w:r>
        <w:rPr>
          <w:rFonts w:ascii="Arial" w:hAnsi="Arial" w:cs="Arial"/>
          <w:sz w:val="24"/>
          <w:szCs w:val="24"/>
        </w:rPr>
        <w:t xml:space="preserve"> </w:t>
      </w:r>
      <w:r>
        <w:rPr>
          <w:rFonts w:ascii="Arial" w:hAnsi="Arial" w:cs="Arial"/>
          <w:sz w:val="24"/>
          <w:szCs w:val="24"/>
        </w:rPr>
        <w:t xml:space="preserve">âmbito</w:t>
      </w:r>
      <w:r>
        <w:rPr>
          <w:rFonts w:ascii="Arial" w:hAnsi="Arial" w:cs="Arial"/>
          <w:sz w:val="24"/>
          <w:szCs w:val="24"/>
        </w:rPr>
        <w:t xml:space="preserve"> </w:t>
      </w:r>
      <w:r>
        <w:rPr>
          <w:rFonts w:ascii="Arial" w:hAnsi="Arial" w:cs="Arial"/>
          <w:sz w:val="24"/>
          <w:szCs w:val="24"/>
        </w:rPr>
        <w:t xml:space="preserve">do</w:t>
      </w:r>
      <w:r>
        <w:rPr>
          <w:rFonts w:ascii="Arial" w:hAnsi="Arial" w:cs="Arial"/>
          <w:sz w:val="24"/>
          <w:szCs w:val="24"/>
        </w:rPr>
        <w:t xml:space="preserve"> </w:t>
      </w:r>
      <w:r>
        <w:rPr>
          <w:rFonts w:ascii="Arial" w:hAnsi="Arial" w:cs="Arial"/>
          <w:sz w:val="24"/>
          <w:szCs w:val="24"/>
        </w:rPr>
        <w:t xml:space="preserve">órgão</w:t>
      </w:r>
      <w:r>
        <w:rPr>
          <w:rFonts w:ascii="Arial" w:hAnsi="Arial" w:cs="Arial"/>
          <w:sz w:val="24"/>
          <w:szCs w:val="24"/>
        </w:rPr>
        <w:t xml:space="preserve"> </w:t>
      </w:r>
      <w:r>
        <w:rPr>
          <w:rFonts w:ascii="Arial" w:hAnsi="Arial" w:cs="Arial"/>
          <w:sz w:val="24"/>
          <w:szCs w:val="24"/>
        </w:rPr>
        <w:t xml:space="preserve">ou</w:t>
      </w:r>
      <w:r>
        <w:rPr>
          <w:rFonts w:ascii="Arial" w:hAnsi="Arial" w:cs="Arial"/>
          <w:sz w:val="24"/>
          <w:szCs w:val="24"/>
        </w:rPr>
        <w:t xml:space="preserve"> </w:t>
      </w:r>
      <w:r>
        <w:rPr>
          <w:rFonts w:ascii="Arial" w:hAnsi="Arial" w:cs="Arial"/>
          <w:sz w:val="24"/>
          <w:szCs w:val="24"/>
        </w:rPr>
        <w:t xml:space="preserve">entidade,</w:t>
      </w:r>
      <w:r>
        <w:rPr>
          <w:rFonts w:ascii="Arial" w:hAnsi="Arial" w:cs="Arial"/>
          <w:sz w:val="24"/>
          <w:szCs w:val="24"/>
        </w:rPr>
        <w:t xml:space="preserve"> </w:t>
      </w:r>
      <w:r>
        <w:rPr>
          <w:rFonts w:ascii="Arial" w:hAnsi="Arial" w:cs="Arial"/>
          <w:sz w:val="24"/>
          <w:szCs w:val="24"/>
        </w:rPr>
        <w:t xml:space="preserve">proibição</w:t>
      </w:r>
      <w:r>
        <w:rPr>
          <w:rFonts w:ascii="Arial" w:hAnsi="Arial" w:cs="Arial"/>
          <w:sz w:val="24"/>
          <w:szCs w:val="24"/>
        </w:rPr>
        <w:t xml:space="preserve">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contratar</w:t>
      </w:r>
      <w:r>
        <w:rPr>
          <w:rFonts w:ascii="Arial" w:hAnsi="Arial" w:cs="Arial"/>
          <w:sz w:val="24"/>
          <w:szCs w:val="24"/>
        </w:rPr>
        <w:t xml:space="preserve"> </w:t>
      </w:r>
      <w:r>
        <w:rPr>
          <w:rFonts w:ascii="Arial" w:hAnsi="Arial" w:cs="Arial"/>
          <w:sz w:val="24"/>
          <w:szCs w:val="24"/>
        </w:rPr>
        <w:t xml:space="preserve">com</w:t>
      </w:r>
      <w:r>
        <w:rPr>
          <w:rFonts w:ascii="Arial" w:hAnsi="Arial" w:cs="Arial"/>
          <w:sz w:val="24"/>
          <w:szCs w:val="24"/>
        </w:rPr>
        <w:t xml:space="preserve"> </w:t>
      </w:r>
      <w:r>
        <w:rPr>
          <w:rFonts w:ascii="Arial" w:hAnsi="Arial" w:cs="Arial"/>
          <w:sz w:val="24"/>
          <w:szCs w:val="24"/>
        </w:rPr>
        <w:t xml:space="preserve">o</w:t>
      </w:r>
      <w:r>
        <w:rPr>
          <w:rFonts w:ascii="Arial" w:hAnsi="Arial" w:cs="Arial"/>
          <w:sz w:val="24"/>
          <w:szCs w:val="24"/>
        </w:rPr>
        <w:t xml:space="preserve"> </w:t>
      </w:r>
      <w:r>
        <w:rPr>
          <w:rFonts w:ascii="Arial" w:hAnsi="Arial" w:cs="Arial"/>
          <w:sz w:val="24"/>
          <w:szCs w:val="24"/>
        </w:rPr>
        <w:t xml:space="preserve">Poder</w:t>
      </w:r>
      <w:r>
        <w:rPr>
          <w:rFonts w:ascii="Arial" w:hAnsi="Arial" w:cs="Arial"/>
          <w:sz w:val="24"/>
          <w:szCs w:val="24"/>
        </w:rPr>
        <w:t xml:space="preserve"> </w:t>
      </w:r>
      <w:r>
        <w:rPr>
          <w:rFonts w:ascii="Arial" w:hAnsi="Arial" w:cs="Arial"/>
          <w:sz w:val="24"/>
          <w:szCs w:val="24"/>
        </w:rPr>
        <w:t xml:space="preserve">Público,</w:t>
      </w:r>
      <w:r>
        <w:rPr>
          <w:rFonts w:ascii="Arial" w:hAnsi="Arial" w:cs="Arial"/>
          <w:sz w:val="24"/>
          <w:szCs w:val="24"/>
        </w:rPr>
        <w:t xml:space="preserve"> </w:t>
      </w:r>
      <w:r>
        <w:rPr>
          <w:rFonts w:ascii="Arial" w:hAnsi="Arial" w:cs="Arial"/>
          <w:sz w:val="24"/>
          <w:szCs w:val="24"/>
        </w:rPr>
        <w:t xml:space="preserve">bem</w:t>
      </w:r>
      <w:r>
        <w:rPr>
          <w:rFonts w:ascii="Arial" w:hAnsi="Arial" w:cs="Arial"/>
          <w:sz w:val="24"/>
          <w:szCs w:val="24"/>
        </w:rPr>
        <w:t xml:space="preserve"> </w:t>
      </w:r>
      <w:r>
        <w:rPr>
          <w:rFonts w:ascii="Arial" w:hAnsi="Arial" w:cs="Arial"/>
          <w:sz w:val="24"/>
          <w:szCs w:val="24"/>
        </w:rPr>
        <w:t xml:space="preserve">como</w:t>
      </w:r>
      <w:r>
        <w:rPr>
          <w:rFonts w:ascii="Arial" w:hAnsi="Arial" w:cs="Arial"/>
          <w:sz w:val="24"/>
          <w:szCs w:val="24"/>
        </w:rPr>
        <w:t xml:space="preserve"> </w:t>
      </w:r>
      <w:r>
        <w:rPr>
          <w:rFonts w:ascii="Arial" w:hAnsi="Arial" w:cs="Arial"/>
          <w:sz w:val="24"/>
          <w:szCs w:val="24"/>
        </w:rPr>
        <w:t xml:space="preserve">ocorrências</w:t>
      </w:r>
      <w:r>
        <w:rPr>
          <w:rFonts w:ascii="Arial" w:hAnsi="Arial" w:cs="Arial"/>
          <w:sz w:val="24"/>
          <w:szCs w:val="24"/>
        </w:rPr>
        <w:t xml:space="preserve"> </w:t>
      </w:r>
      <w:r>
        <w:rPr>
          <w:rFonts w:ascii="Arial" w:hAnsi="Arial" w:cs="Arial"/>
          <w:sz w:val="24"/>
          <w:szCs w:val="24"/>
        </w:rPr>
        <w:t xml:space="preserve">impeditivas indiretas, observado o disposto no art. 29, da Instrução Normativa nº 3, de 26 de abril de</w:t>
      </w:r>
      <w:r>
        <w:rPr>
          <w:rFonts w:ascii="Arial" w:hAnsi="Arial" w:cs="Arial"/>
          <w:sz w:val="24"/>
          <w:szCs w:val="24"/>
        </w:rPr>
        <w:t xml:space="preserve"> </w:t>
      </w:r>
      <w:r>
        <w:rPr>
          <w:rFonts w:ascii="Arial" w:hAnsi="Arial" w:cs="Arial"/>
          <w:sz w:val="24"/>
          <w:szCs w:val="24"/>
        </w:rPr>
        <w:t xml:space="preserve">2018.</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responsáveis pela fiscalização da</w:t>
      </w:r>
      <w:r>
        <w:rPr>
          <w:rFonts w:ascii="Arial" w:hAnsi="Arial" w:cs="Arial"/>
          <w:sz w:val="24"/>
          <w:szCs w:val="24"/>
        </w:rPr>
        <w:t xml:space="preserve"> </w:t>
      </w:r>
      <w:r>
        <w:rPr>
          <w:rFonts w:ascii="Arial" w:hAnsi="Arial" w:cs="Arial"/>
          <w:sz w:val="24"/>
          <w:szCs w:val="24"/>
        </w:rPr>
        <w:t xml:space="preserve">regularidade</w:t>
      </w:r>
      <w:r>
        <w:rPr>
          <w:rFonts w:ascii="Arial" w:hAnsi="Arial" w:cs="Arial"/>
          <w:sz w:val="24"/>
          <w:szCs w:val="24"/>
        </w:rPr>
        <w:t xml:space="preserve"> </w:t>
      </w:r>
      <w:r>
        <w:rPr>
          <w:rFonts w:ascii="Arial" w:hAnsi="Arial" w:cs="Arial"/>
          <w:sz w:val="24"/>
          <w:szCs w:val="24"/>
        </w:rPr>
        <w:t xml:space="preserve">fiscal</w:t>
      </w:r>
      <w:r>
        <w:rPr>
          <w:rFonts w:ascii="Arial" w:hAnsi="Arial" w:cs="Arial"/>
          <w:sz w:val="24"/>
          <w:szCs w:val="24"/>
        </w:rPr>
        <w:t xml:space="preserve"> </w:t>
      </w:r>
      <w:r>
        <w:rPr>
          <w:rFonts w:ascii="Arial" w:hAnsi="Arial" w:cs="Arial"/>
          <w:sz w:val="24"/>
          <w:szCs w:val="24"/>
        </w:rPr>
        <w:t xml:space="preserve">quanto</w:t>
      </w:r>
      <w:r>
        <w:rPr>
          <w:rFonts w:ascii="Arial" w:hAnsi="Arial" w:cs="Arial"/>
          <w:sz w:val="24"/>
          <w:szCs w:val="24"/>
        </w:rPr>
        <w:t xml:space="preserve"> </w:t>
      </w:r>
      <w:r>
        <w:rPr>
          <w:rFonts w:ascii="Arial" w:hAnsi="Arial" w:cs="Arial"/>
          <w:sz w:val="24"/>
          <w:szCs w:val="24"/>
        </w:rPr>
        <w:t xml:space="preserve">à</w:t>
      </w:r>
      <w:r>
        <w:rPr>
          <w:rFonts w:ascii="Arial" w:hAnsi="Arial" w:cs="Arial"/>
          <w:sz w:val="24"/>
          <w:szCs w:val="24"/>
        </w:rPr>
        <w:t xml:space="preserve"> </w:t>
      </w:r>
      <w:r>
        <w:rPr>
          <w:rFonts w:ascii="Arial" w:hAnsi="Arial" w:cs="Arial"/>
          <w:sz w:val="24"/>
          <w:szCs w:val="24"/>
        </w:rPr>
        <w:t xml:space="preserve">inadimplência</w:t>
      </w:r>
      <w:r>
        <w:rPr>
          <w:rFonts w:ascii="Arial" w:hAnsi="Arial" w:cs="Arial"/>
          <w:sz w:val="24"/>
          <w:szCs w:val="24"/>
        </w:rPr>
        <w:t xml:space="preserve"> </w:t>
      </w:r>
      <w:r>
        <w:rPr>
          <w:rFonts w:ascii="Arial" w:hAnsi="Arial" w:cs="Arial"/>
          <w:sz w:val="24"/>
          <w:szCs w:val="24"/>
        </w:rPr>
        <w:t xml:space="preserve">da</w:t>
      </w:r>
      <w:r>
        <w:rPr>
          <w:rFonts w:ascii="Arial" w:hAnsi="Arial" w:cs="Arial"/>
          <w:sz w:val="24"/>
          <w:szCs w:val="24"/>
        </w:rPr>
        <w:t xml:space="preserve"> </w:t>
      </w:r>
      <w:r>
        <w:rPr>
          <w:rFonts w:ascii="Arial" w:hAnsi="Arial" w:cs="Arial"/>
          <w:sz w:val="24"/>
          <w:szCs w:val="24"/>
        </w:rPr>
        <w:t xml:space="preserve">contratada,</w:t>
      </w:r>
      <w:r>
        <w:rPr>
          <w:rFonts w:ascii="Arial" w:hAnsi="Arial" w:cs="Arial"/>
          <w:sz w:val="24"/>
          <w:szCs w:val="24"/>
        </w:rPr>
        <w:t xml:space="preserve"> </w:t>
      </w:r>
      <w:r>
        <w:rPr>
          <w:rFonts w:ascii="Arial" w:hAnsi="Arial" w:cs="Arial"/>
          <w:sz w:val="24"/>
          <w:szCs w:val="24"/>
        </w:rPr>
        <w:t xml:space="preserve">bem</w:t>
      </w:r>
      <w:r>
        <w:rPr>
          <w:rFonts w:ascii="Arial" w:hAnsi="Arial" w:cs="Arial"/>
          <w:sz w:val="24"/>
          <w:szCs w:val="24"/>
        </w:rPr>
        <w:t xml:space="preserve"> </w:t>
      </w:r>
      <w:r>
        <w:rPr>
          <w:rFonts w:ascii="Arial" w:hAnsi="Arial" w:cs="Arial"/>
          <w:sz w:val="24"/>
          <w:szCs w:val="24"/>
        </w:rPr>
        <w:t xml:space="preserve">como</w:t>
      </w:r>
      <w:r>
        <w:rPr>
          <w:rFonts w:ascii="Arial" w:hAnsi="Arial" w:cs="Arial"/>
          <w:sz w:val="24"/>
          <w:szCs w:val="24"/>
        </w:rPr>
        <w:t xml:space="preserve"> </w:t>
      </w:r>
      <w:r>
        <w:rPr>
          <w:rFonts w:ascii="Arial" w:hAnsi="Arial" w:cs="Arial"/>
          <w:sz w:val="24"/>
          <w:szCs w:val="24"/>
        </w:rPr>
        <w:t xml:space="preserve">quanto</w:t>
      </w:r>
      <w:r>
        <w:rPr>
          <w:rFonts w:ascii="Arial" w:hAnsi="Arial" w:cs="Arial"/>
          <w:sz w:val="24"/>
          <w:szCs w:val="24"/>
        </w:rPr>
        <w:t xml:space="preserve"> </w:t>
      </w:r>
      <w:r>
        <w:rPr>
          <w:rFonts w:ascii="Arial" w:hAnsi="Arial" w:cs="Arial"/>
          <w:sz w:val="24"/>
          <w:szCs w:val="24"/>
        </w:rPr>
        <w:t xml:space="preserve">à</w:t>
      </w:r>
      <w:r>
        <w:rPr>
          <w:rFonts w:ascii="Arial" w:hAnsi="Arial" w:cs="Arial"/>
          <w:sz w:val="24"/>
          <w:szCs w:val="24"/>
        </w:rPr>
        <w:t xml:space="preserve"> </w:t>
      </w:r>
      <w:r>
        <w:rPr>
          <w:rFonts w:ascii="Arial" w:hAnsi="Arial" w:cs="Arial"/>
          <w:sz w:val="24"/>
          <w:szCs w:val="24"/>
        </w:rPr>
        <w:t xml:space="preserve">existência</w:t>
      </w:r>
      <w:r>
        <w:rPr>
          <w:rFonts w:ascii="Arial" w:hAnsi="Arial" w:cs="Arial"/>
          <w:sz w:val="24"/>
          <w:szCs w:val="24"/>
        </w:rPr>
        <w:t xml:space="preserve">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pagamento</w:t>
      </w:r>
      <w:r>
        <w:rPr>
          <w:rFonts w:ascii="Arial" w:hAnsi="Arial" w:cs="Arial"/>
          <w:sz w:val="24"/>
          <w:szCs w:val="24"/>
        </w:rPr>
        <w:t xml:space="preserve"> </w:t>
      </w: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ser</w:t>
      </w:r>
      <w:r>
        <w:rPr>
          <w:rFonts w:ascii="Arial" w:hAnsi="Arial" w:cs="Arial"/>
          <w:sz w:val="24"/>
          <w:szCs w:val="24"/>
        </w:rPr>
        <w:t xml:space="preserve"> </w:t>
      </w:r>
      <w:r>
        <w:rPr>
          <w:rFonts w:ascii="Arial" w:hAnsi="Arial" w:cs="Arial"/>
          <w:sz w:val="24"/>
          <w:szCs w:val="24"/>
        </w:rPr>
        <w:t xml:space="preserve">efetuado,</w:t>
      </w:r>
      <w:r>
        <w:rPr>
          <w:rFonts w:ascii="Arial" w:hAnsi="Arial" w:cs="Arial"/>
          <w:sz w:val="24"/>
          <w:szCs w:val="24"/>
        </w:rPr>
        <w:t xml:space="preserve"> </w:t>
      </w:r>
      <w:r>
        <w:rPr>
          <w:rFonts w:ascii="Arial" w:hAnsi="Arial" w:cs="Arial"/>
          <w:sz w:val="24"/>
          <w:szCs w:val="24"/>
        </w:rPr>
        <w:t xml:space="preserve">para</w:t>
      </w:r>
      <w:r>
        <w:rPr>
          <w:rFonts w:ascii="Arial" w:hAnsi="Arial" w:cs="Arial"/>
          <w:sz w:val="24"/>
          <w:szCs w:val="24"/>
        </w:rPr>
        <w:t xml:space="preserve"> que </w:t>
      </w:r>
      <w:r>
        <w:rPr>
          <w:rFonts w:ascii="Arial" w:hAnsi="Arial" w:cs="Arial"/>
          <w:sz w:val="24"/>
          <w:szCs w:val="24"/>
        </w:rPr>
        <w:t xml:space="preserve">sejam</w:t>
      </w:r>
      <w:r>
        <w:rPr>
          <w:rFonts w:ascii="Arial" w:hAnsi="Arial" w:cs="Arial"/>
          <w:sz w:val="24"/>
          <w:szCs w:val="24"/>
        </w:rPr>
        <w:t xml:space="preserve"> </w:t>
      </w:r>
      <w:r>
        <w:rPr>
          <w:rFonts w:ascii="Arial" w:hAnsi="Arial" w:cs="Arial"/>
          <w:sz w:val="24"/>
          <w:szCs w:val="24"/>
        </w:rPr>
        <w:t xml:space="preserve">acionados</w:t>
      </w:r>
      <w:r>
        <w:rPr>
          <w:rFonts w:ascii="Arial" w:hAnsi="Arial" w:cs="Arial"/>
          <w:sz w:val="24"/>
          <w:szCs w:val="24"/>
        </w:rPr>
        <w:t xml:space="preserve"> </w:t>
      </w:r>
      <w:r>
        <w:rPr>
          <w:rFonts w:ascii="Arial" w:hAnsi="Arial" w:cs="Arial"/>
          <w:sz w:val="24"/>
          <w:szCs w:val="24"/>
        </w:rPr>
        <w:t xml:space="preserve">os meios pertinentes e necessários para garantir o recebimento de seus</w:t>
      </w:r>
      <w:r>
        <w:rPr>
          <w:rFonts w:ascii="Arial" w:hAnsi="Arial" w:cs="Arial"/>
          <w:sz w:val="24"/>
          <w:szCs w:val="24"/>
        </w:rPr>
        <w:t xml:space="preserve"> </w:t>
      </w:r>
      <w:r>
        <w:rPr>
          <w:rFonts w:ascii="Arial" w:hAnsi="Arial" w:cs="Arial"/>
          <w:sz w:val="24"/>
          <w:szCs w:val="24"/>
        </w:rPr>
        <w:t xml:space="preserve">créditos.</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cs="Arial"/>
          <w:sz w:val="24"/>
          <w:szCs w:val="24"/>
        </w:rPr>
        <w:t xml:space="preserve"> </w:t>
      </w:r>
      <w:r>
        <w:rPr>
          <w:rFonts w:ascii="Arial" w:hAnsi="Arial" w:cs="Arial"/>
          <w:sz w:val="24"/>
          <w:szCs w:val="24"/>
        </w:rPr>
        <w:t xml:space="preserve">defesa.</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Havendo a efetiva execução do objeto, os pagamentos serão realizados normalmente, até que se decida pela rescisão do contrato, caso a contratada não regularize sua situação junto ao </w:t>
      </w:r>
      <w:r>
        <w:rPr>
          <w:rFonts w:ascii="Arial" w:hAnsi="Arial" w:cs="Arial"/>
          <w:sz w:val="24"/>
          <w:szCs w:val="24"/>
        </w:rPr>
        <w:t xml:space="preserve">SICAF</w:t>
      </w:r>
      <w:r>
        <w:rPr>
          <w:rFonts w:ascii="Arial" w:hAnsi="Arial" w:cs="Arial"/>
          <w:sz w:val="24"/>
          <w:szCs w:val="24"/>
        </w:rPr>
        <w:t xml:space="preserve">.</w:t>
      </w:r>
      <w:r/>
    </w:p>
    <w:p>
      <w:pPr>
        <w:pStyle w:val="883"/>
        <w:numPr>
          <w:ilvl w:val="2"/>
          <w:numId w:val="1"/>
        </w:numPr>
        <w:ind w:left="1985" w:right="49" w:hanging="992"/>
        <w:jc w:val="both"/>
        <w:spacing w:after="160" w:line="276" w:lineRule="auto"/>
        <w:tabs>
          <w:tab w:val="left" w:pos="2127" w:leader="none"/>
        </w:tabs>
        <w:rPr>
          <w:sz w:val="24"/>
          <w:szCs w:val="24"/>
        </w:rPr>
      </w:pPr>
      <w:r>
        <w:rPr>
          <w:sz w:val="24"/>
          <w:szCs w:val="24"/>
        </w:rPr>
        <w:t xml:space="preserve">Será rescindido o contrato em execução com a contratada inadimplente no </w:t>
      </w:r>
      <w:r>
        <w:rPr>
          <w:sz w:val="24"/>
          <w:szCs w:val="24"/>
        </w:rPr>
        <w:t xml:space="preserve">SICAF</w:t>
      </w:r>
      <w:r>
        <w:rPr>
          <w:sz w:val="24"/>
          <w:szCs w:val="24"/>
        </w:rPr>
        <w:t xml:space="preserve">, salvo por motivo de economicidade, segurança nacional ou outro de interesse público de alta relevância, devidamente justificado, em qualquer caso, pela máxima autoridade da contratante.</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pStyle w:val="883"/>
        <w:numPr>
          <w:ilvl w:val="2"/>
          <w:numId w:val="1"/>
        </w:numPr>
        <w:ind w:left="1985" w:right="49" w:hanging="992"/>
        <w:jc w:val="both"/>
        <w:spacing w:after="160" w:line="276" w:lineRule="auto"/>
        <w:tabs>
          <w:tab w:val="left" w:pos="2127" w:leader="none"/>
        </w:tabs>
        <w:rPr>
          <w:sz w:val="24"/>
          <w:szCs w:val="24"/>
        </w:rPr>
      </w:pPr>
      <w:r>
        <w:rPr>
          <w:sz w:val="24"/>
          <w:szCs w:val="24"/>
        </w:rPr>
        <w:t xml:space="preserve">A Contratada regularmente optante pelo Simples Nacional, nos termos da Lei Complementar nº 123, de 2006, não sofrerá a retenção tr</w:t>
      </w:r>
      <w:r>
        <w:rPr>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spacing w:val="-30"/>
          <w:sz w:val="24"/>
          <w:szCs w:val="24"/>
        </w:rPr>
        <w:t xml:space="preserve"> </w:t>
      </w:r>
      <w:r>
        <w:rPr>
          <w:sz w:val="24"/>
          <w:szCs w:val="24"/>
        </w:rPr>
        <w:t xml:space="preserve">Complementar.</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w:t>
      </w:r>
      <w:r>
        <w:rPr>
          <w:rFonts w:ascii="Arial" w:hAnsi="Arial" w:cs="Arial"/>
          <w:sz w:val="24"/>
          <w:szCs w:val="24"/>
        </w:rPr>
        <w:t xml:space="preserve">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993" w:right="49"/>
        <w:jc w:val="both"/>
        <w:spacing w:line="360" w:lineRule="auto"/>
        <w:rPr>
          <w:rFonts w:ascii="Arial" w:hAnsi="Arial" w:cs="Arial"/>
          <w:sz w:val="24"/>
          <w:szCs w:val="24"/>
        </w:rPr>
      </w:pPr>
      <w:r>
        <w:rPr>
          <w:rFonts w:ascii="Arial" w:hAnsi="Arial" w:cs="Arial"/>
          <w:sz w:val="24"/>
          <w:szCs w:val="24"/>
        </w:rPr>
        <w:t xml:space="preserve">EM = I x N x VP, sendo:</w:t>
      </w:r>
      <w:r/>
    </w:p>
    <w:p>
      <w:pPr>
        <w:ind w:left="993" w:right="49"/>
        <w:jc w:val="both"/>
        <w:spacing w:line="360" w:lineRule="auto"/>
        <w:rPr>
          <w:rFonts w:ascii="Arial" w:hAnsi="Arial" w:cs="Arial"/>
          <w:sz w:val="24"/>
          <w:szCs w:val="24"/>
        </w:rPr>
      </w:pPr>
      <w:r>
        <w:rPr>
          <w:rFonts w:ascii="Arial" w:hAnsi="Arial" w:cs="Arial"/>
          <w:sz w:val="24"/>
          <w:szCs w:val="24"/>
        </w:rPr>
        <w:t xml:space="preserve">EM = Encargos moratórios;</w:t>
      </w:r>
      <w:r/>
    </w:p>
    <w:p>
      <w:pPr>
        <w:ind w:left="993" w:right="49"/>
        <w:jc w:val="both"/>
        <w:spacing w:line="360"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993" w:right="49"/>
        <w:jc w:val="both"/>
        <w:spacing w:line="360" w:lineRule="auto"/>
        <w:rPr>
          <w:rFonts w:ascii="Arial" w:hAnsi="Arial" w:cs="Arial"/>
          <w:sz w:val="24"/>
          <w:szCs w:val="24"/>
        </w:rPr>
      </w:pPr>
      <w:r>
        <w:rPr>
          <w:rFonts w:ascii="Arial" w:hAnsi="Arial" w:cs="Arial"/>
          <w:sz w:val="24"/>
          <w:szCs w:val="24"/>
        </w:rPr>
        <w:t xml:space="preserve">VP = Valor da parcela a ser paga.</w:t>
      </w:r>
      <w:r/>
    </w:p>
    <w:p>
      <w:pPr>
        <w:pStyle w:val="883"/>
        <w:ind w:left="993" w:right="49"/>
        <w:jc w:val="both"/>
        <w:spacing w:line="360" w:lineRule="auto"/>
        <w:rPr>
          <w:sz w:val="24"/>
          <w:szCs w:val="24"/>
        </w:rPr>
      </w:pPr>
      <w:r>
        <w:rPr>
          <w:sz w:val="24"/>
          <w:szCs w:val="24"/>
        </w:rPr>
        <w:t xml:space="preserve">I = Índice de compensação financeira = 0,00016438, assim apurado:</w:t>
      </w:r>
      <w:r/>
    </w:p>
    <w:p>
      <w:pPr>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I = (TX)</w:t>
      </w:r>
      <w:r>
        <w:rPr>
          <w:rFonts w:ascii="Arial" w:hAnsi="Arial" w:eastAsia="Arial" w:cs="Arial"/>
          <w:sz w:val="24"/>
          <w:szCs w:val="24"/>
        </w:rPr>
        <w:tab/>
        <w:t xml:space="preserve">    </w:t>
      </w:r>
      <w:r>
        <w:rPr>
          <w:rFonts w:ascii="Arial" w:hAnsi="Arial" w:eastAsia="Arial" w:cs="Arial"/>
          <w:sz w:val="24"/>
          <w:szCs w:val="24"/>
          <w:u w:val="single"/>
        </w:rPr>
        <w:t xml:space="preserve">I =</w:t>
      </w:r>
      <w:r>
        <w:rPr>
          <w:rFonts w:ascii="Arial" w:hAnsi="Arial" w:eastAsia="Arial" w:cs="Arial"/>
          <w:sz w:val="24"/>
          <w:szCs w:val="24"/>
          <w:u w:val="single"/>
        </w:rPr>
        <w:t xml:space="preserve"> </w:t>
      </w:r>
      <w:r>
        <w:rPr>
          <w:rFonts w:ascii="Arial" w:hAnsi="Arial" w:eastAsia="Arial" w:cs="Arial"/>
          <w:sz w:val="24"/>
          <w:szCs w:val="24"/>
          <w:u w:val="single"/>
        </w:rPr>
        <w:t xml:space="preserve">(6 / 100)</w:t>
      </w:r>
      <w:r>
        <w:rPr>
          <w:rFonts w:ascii="Arial" w:hAnsi="Arial" w:eastAsia="Arial" w:cs="Arial"/>
          <w:sz w:val="24"/>
          <w:szCs w:val="24"/>
        </w:rPr>
        <w:t xml:space="preserve">          I = 0,00016438</w:t>
      </w:r>
      <w:r/>
    </w:p>
    <w:p>
      <w:pPr>
        <w:ind w:left="993" w:right="49"/>
        <w:spacing w:line="276" w:lineRule="auto"/>
        <w:rPr>
          <w:rFonts w:ascii="Arial" w:hAnsi="Arial" w:eastAsia="Arial" w:cs="Arial"/>
          <w:sz w:val="24"/>
          <w:szCs w:val="24"/>
        </w:rPr>
      </w:pPr>
      <w:r>
        <w:rPr>
          <w:rFonts w:ascii="Arial" w:hAnsi="Arial" w:eastAsia="Arial" w:cs="Arial"/>
          <w:sz w:val="24"/>
          <w:szCs w:val="24"/>
        </w:rPr>
        <w:t xml:space="preserve">                               365               TX = Percentual da taxa anual =6%</w:t>
      </w:r>
      <w:r/>
    </w:p>
    <w:p>
      <w:pPr>
        <w:ind w:left="851" w:right="49"/>
        <w:spacing w:line="276" w:lineRule="auto"/>
        <w:rPr>
          <w:rFonts w:ascii="Arial" w:hAnsi="Arial" w:eastAsia="Arial" w:cs="Arial"/>
          <w:sz w:val="24"/>
          <w:szCs w:val="24"/>
        </w:rPr>
      </w:pPr>
      <w:r>
        <w:rPr>
          <w:rFonts w:ascii="Arial" w:hAnsi="Arial" w:eastAsia="Arial" w:cs="Arial"/>
          <w:sz w:val="24"/>
          <w:szCs w:val="24"/>
        </w:rPr>
      </w:r>
      <w:r/>
    </w:p>
    <w:p>
      <w:pPr>
        <w:pStyle w:val="856"/>
        <w:numPr>
          <w:ilvl w:val="0"/>
          <w:numId w:val="1"/>
        </w:numPr>
        <w:contextualSpacing w:val="0"/>
        <w:ind w:left="284" w:right="49"/>
        <w:jc w:val="both"/>
        <w:spacing w:after="240" w:line="276" w:lineRule="auto"/>
        <w:widowControl w:val="off"/>
        <w:tabs>
          <w:tab w:val="left" w:pos="284" w:leader="none"/>
        </w:tabs>
        <w:rPr>
          <w:rFonts w:ascii="Arial" w:hAnsi="Arial" w:cs="Arial"/>
          <w:b/>
        </w:rPr>
      </w:pPr>
      <w:r>
        <w:rPr>
          <w:rFonts w:ascii="Arial" w:hAnsi="Arial" w:cs="Arial"/>
          <w:b/>
        </w:rPr>
        <w:t xml:space="preserve">DAS SANÇÕES ADMINISTRATIVAS: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Calibri" w:cs="Arial"/>
          <w:sz w:val="24"/>
          <w:szCs w:val="24"/>
        </w:rPr>
        <w:t xml:space="preserve">Comete</w:t>
      </w:r>
      <w:r>
        <w:rPr>
          <w:rFonts w:ascii="Arial" w:hAnsi="Arial" w:eastAsia="Arial" w:cs="Arial"/>
          <w:sz w:val="24"/>
          <w:szCs w:val="24"/>
        </w:rPr>
        <w:t xml:space="preserve"> infração administrativa, a Licitante que praticar qualquer ato previsto no art. 7º da Lei nº 10.520, de 2002, notadamente os abaixo descritos:</w:t>
      </w:r>
      <w:r/>
    </w:p>
    <w:p>
      <w:pPr>
        <w:pStyle w:val="883"/>
        <w:numPr>
          <w:ilvl w:val="2"/>
          <w:numId w:val="1"/>
        </w:numPr>
        <w:ind w:left="1985" w:right="49" w:hanging="992"/>
        <w:jc w:val="both"/>
        <w:spacing w:after="160" w:line="276" w:lineRule="auto"/>
        <w:tabs>
          <w:tab w:val="left" w:pos="2127" w:leader="none"/>
        </w:tabs>
        <w:rPr>
          <w:sz w:val="24"/>
          <w:szCs w:val="24"/>
        </w:rPr>
      </w:pPr>
      <w:r>
        <w:rPr>
          <w:sz w:val="24"/>
          <w:szCs w:val="24"/>
        </w:rPr>
        <w:t xml:space="preserve">Inexecutar total ou parcialmente qualquer das obrigações assumidas em decorrência da contratação.</w:t>
      </w:r>
      <w:r/>
    </w:p>
    <w:p>
      <w:pPr>
        <w:pStyle w:val="883"/>
        <w:numPr>
          <w:ilvl w:val="2"/>
          <w:numId w:val="1"/>
        </w:numPr>
        <w:ind w:left="1985" w:right="49" w:hanging="992"/>
        <w:jc w:val="both"/>
        <w:spacing w:after="160" w:line="276" w:lineRule="auto"/>
        <w:tabs>
          <w:tab w:val="left" w:pos="2127" w:leader="none"/>
        </w:tabs>
        <w:rPr>
          <w:sz w:val="24"/>
          <w:szCs w:val="24"/>
        </w:rPr>
      </w:pPr>
      <w:r>
        <w:rPr>
          <w:sz w:val="24"/>
          <w:szCs w:val="24"/>
        </w:rPr>
        <w:t xml:space="preserve">Ensejar o retardamento da execução do objeto.</w:t>
      </w:r>
      <w:r/>
    </w:p>
    <w:p>
      <w:pPr>
        <w:pStyle w:val="883"/>
        <w:numPr>
          <w:ilvl w:val="2"/>
          <w:numId w:val="1"/>
        </w:numPr>
        <w:ind w:left="1985" w:right="49" w:hanging="992"/>
        <w:jc w:val="both"/>
        <w:spacing w:after="160" w:line="276" w:lineRule="auto"/>
        <w:tabs>
          <w:tab w:val="left" w:pos="2127" w:leader="none"/>
        </w:tabs>
        <w:rPr>
          <w:sz w:val="24"/>
          <w:szCs w:val="24"/>
        </w:rPr>
      </w:pPr>
      <w:r>
        <w:rPr>
          <w:sz w:val="24"/>
          <w:szCs w:val="24"/>
        </w:rPr>
        <w:t xml:space="preserve">Falhar ou fraudar na execução do contrato.</w:t>
      </w:r>
      <w:r/>
    </w:p>
    <w:p>
      <w:pPr>
        <w:pStyle w:val="883"/>
        <w:numPr>
          <w:ilvl w:val="2"/>
          <w:numId w:val="1"/>
        </w:numPr>
        <w:ind w:left="1985" w:right="49" w:hanging="992"/>
        <w:jc w:val="both"/>
        <w:spacing w:after="160" w:line="276" w:lineRule="auto"/>
        <w:tabs>
          <w:tab w:val="left" w:pos="2127" w:leader="none"/>
        </w:tabs>
        <w:rPr>
          <w:sz w:val="24"/>
          <w:szCs w:val="24"/>
        </w:rPr>
      </w:pPr>
      <w:r>
        <w:rPr>
          <w:sz w:val="24"/>
          <w:szCs w:val="24"/>
        </w:rPr>
        <w:t xml:space="preserve">Comportar-se de modo inidôneo.</w:t>
      </w:r>
      <w:r/>
    </w:p>
    <w:p>
      <w:pPr>
        <w:pStyle w:val="883"/>
        <w:numPr>
          <w:ilvl w:val="2"/>
          <w:numId w:val="1"/>
        </w:numPr>
        <w:ind w:left="1985" w:right="49" w:hanging="992"/>
        <w:jc w:val="both"/>
        <w:spacing w:after="160" w:line="276" w:lineRule="auto"/>
        <w:tabs>
          <w:tab w:val="left" w:pos="2127" w:leader="none"/>
        </w:tabs>
        <w:rPr>
          <w:sz w:val="24"/>
          <w:szCs w:val="24"/>
        </w:rPr>
      </w:pPr>
      <w:r>
        <w:rPr>
          <w:sz w:val="24"/>
          <w:szCs w:val="24"/>
        </w:rPr>
        <w:t xml:space="preserve">Cometer fraude fiscal.</w:t>
      </w:r>
      <w:r/>
    </w:p>
    <w:p>
      <w:pPr>
        <w:pStyle w:val="883"/>
        <w:numPr>
          <w:ilvl w:val="2"/>
          <w:numId w:val="1"/>
        </w:numPr>
        <w:ind w:left="1985" w:right="49" w:hanging="992"/>
        <w:jc w:val="both"/>
        <w:spacing w:after="160" w:line="276" w:lineRule="auto"/>
        <w:tabs>
          <w:tab w:val="left" w:pos="2127" w:leader="none"/>
        </w:tabs>
        <w:rPr>
          <w:sz w:val="24"/>
          <w:szCs w:val="24"/>
        </w:rPr>
      </w:pPr>
      <w:r>
        <w:rPr>
          <w:sz w:val="24"/>
          <w:szCs w:val="24"/>
        </w:rPr>
        <w:t xml:space="preserve">Deixar de apresentar amostras, quando solicitadas.</w:t>
      </w:r>
      <w:r/>
    </w:p>
    <w:p>
      <w:pPr>
        <w:pStyle w:val="883"/>
        <w:numPr>
          <w:ilvl w:val="2"/>
          <w:numId w:val="1"/>
        </w:numPr>
        <w:ind w:left="1985" w:right="49" w:hanging="992"/>
        <w:jc w:val="both"/>
        <w:spacing w:after="160" w:line="276" w:lineRule="auto"/>
        <w:tabs>
          <w:tab w:val="left" w:pos="2127" w:leader="none"/>
        </w:tabs>
        <w:rPr>
          <w:sz w:val="24"/>
          <w:szCs w:val="24"/>
        </w:rPr>
      </w:pPr>
      <w:r>
        <w:rPr>
          <w:sz w:val="24"/>
          <w:szCs w:val="24"/>
        </w:rPr>
        <w:t xml:space="preserve">Deixar de entregar ou apresentar documentação falsa exigida para o certame.</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O licitante/adjudicatário que cometer qualquer das infrações discriminadas nos subitens anteriores ficará sujeito, sem prejuízo da responsabilidade civil e criminal, às seguintes sanções:</w:t>
      </w:r>
      <w:r/>
    </w:p>
    <w:p>
      <w:pPr>
        <w:pStyle w:val="883"/>
        <w:numPr>
          <w:ilvl w:val="2"/>
          <w:numId w:val="1"/>
        </w:numPr>
        <w:ind w:left="1985" w:right="49" w:hanging="992"/>
        <w:jc w:val="both"/>
        <w:spacing w:after="160" w:line="276" w:lineRule="auto"/>
        <w:tabs>
          <w:tab w:val="left" w:pos="2127" w:leader="none"/>
        </w:tabs>
        <w:rPr>
          <w:sz w:val="24"/>
          <w:szCs w:val="24"/>
        </w:rPr>
      </w:pPr>
      <w:r>
        <w:rPr>
          <w:sz w:val="24"/>
          <w:szCs w:val="24"/>
        </w:rPr>
        <w:t xml:space="preserve">Multa moratória de 0,5%</w:t>
      </w:r>
      <w:r>
        <w:rPr>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883"/>
        <w:numPr>
          <w:ilvl w:val="2"/>
          <w:numId w:val="1"/>
        </w:numPr>
        <w:ind w:left="1985" w:right="49" w:hanging="992"/>
        <w:jc w:val="both"/>
        <w:spacing w:after="160" w:line="276" w:lineRule="auto"/>
        <w:tabs>
          <w:tab w:val="left" w:pos="2127" w:leader="none"/>
        </w:tabs>
        <w:rPr>
          <w:sz w:val="24"/>
          <w:szCs w:val="24"/>
        </w:rPr>
      </w:pPr>
      <w:r>
        <w:rPr>
          <w:sz w:val="24"/>
          <w:szCs w:val="24"/>
        </w:rPr>
        <w:t xml:space="preserve">Multa compensatória de 10% (dez por cento) sobre o valor total do contrato, no caso de inexecução total do objeto.</w:t>
      </w:r>
      <w:r/>
    </w:p>
    <w:p>
      <w:pPr>
        <w:pStyle w:val="856"/>
        <w:numPr>
          <w:ilvl w:val="3"/>
          <w:numId w:val="1"/>
        </w:numPr>
        <w:contextualSpacing w:val="0"/>
        <w:ind w:left="2977" w:hanging="993"/>
        <w:jc w:val="both"/>
        <w:spacing w:before="240" w:line="276" w:lineRule="auto"/>
        <w:rPr>
          <w:rFonts w:ascii="Arial" w:hAnsi="Arial" w:eastAsia="Arial" w:cs="Arial"/>
          <w:sz w:val="24"/>
          <w:szCs w:val="24"/>
        </w:rPr>
      </w:pPr>
      <w:r>
        <w:rPr>
          <w:rFonts w:ascii="Arial" w:hAnsi="Arial" w:eastAsia="Arial" w:cs="Arial"/>
          <w:sz w:val="24"/>
          <w:szCs w:val="24"/>
        </w:rPr>
        <w:t xml:space="preserve">Em caso de inexecução parcial, a multa compensatória, no mesmo percentual do subitem acima, será aplicada de forma proporcional à obrigação inadimplida.</w:t>
      </w:r>
      <w:r/>
    </w:p>
    <w:p>
      <w:pPr>
        <w:pStyle w:val="883"/>
        <w:numPr>
          <w:ilvl w:val="2"/>
          <w:numId w:val="1"/>
        </w:numPr>
        <w:ind w:left="1985" w:right="49" w:hanging="992"/>
        <w:jc w:val="both"/>
        <w:spacing w:after="160" w:line="276" w:lineRule="auto"/>
        <w:tabs>
          <w:tab w:val="left" w:pos="2127" w:leader="none"/>
        </w:tabs>
        <w:rPr>
          <w:sz w:val="24"/>
          <w:szCs w:val="24"/>
        </w:rPr>
      </w:pPr>
      <w:r>
        <w:rPr>
          <w:sz w:val="24"/>
          <w:szCs w:val="24"/>
        </w:rPr>
        <w:t xml:space="preserve">Multa de 0,01%, calculada sobre o valor da proposta apresentada no certame pelo licitante, caso este não apresente amostras, quando solicitadas.</w:t>
      </w:r>
      <w:r/>
    </w:p>
    <w:p>
      <w:pPr>
        <w:pStyle w:val="883"/>
        <w:numPr>
          <w:ilvl w:val="2"/>
          <w:numId w:val="1"/>
        </w:numPr>
        <w:ind w:left="1985" w:right="49" w:hanging="992"/>
        <w:jc w:val="both"/>
        <w:spacing w:after="160" w:line="276" w:lineRule="auto"/>
        <w:tabs>
          <w:tab w:val="left" w:pos="2127" w:leader="none"/>
        </w:tabs>
        <w:rPr>
          <w:sz w:val="24"/>
          <w:szCs w:val="24"/>
        </w:rPr>
      </w:pPr>
      <w:r>
        <w:rPr>
          <w:sz w:val="24"/>
          <w:szCs w:val="24"/>
        </w:rPr>
        <w:t xml:space="preserve">Multa de 10% (dez por cento) pela recusa injustificada em retirar a ordem de compra/empenho ou recusa, também injustificada, em assinar o contrato.</w:t>
      </w:r>
      <w:r/>
    </w:p>
    <w:p>
      <w:pPr>
        <w:pStyle w:val="883"/>
        <w:numPr>
          <w:ilvl w:val="2"/>
          <w:numId w:val="1"/>
        </w:numPr>
        <w:ind w:left="1985" w:right="49" w:hanging="992"/>
        <w:jc w:val="both"/>
        <w:spacing w:after="160" w:line="276" w:lineRule="auto"/>
        <w:tabs>
          <w:tab w:val="left" w:pos="2127" w:leader="none"/>
        </w:tabs>
        <w:rPr>
          <w:sz w:val="24"/>
          <w:szCs w:val="24"/>
        </w:rPr>
      </w:pPr>
      <w:r>
        <w:rPr>
          <w:sz w:val="24"/>
          <w:szCs w:val="24"/>
        </w:rPr>
        <w:t xml:space="preserve">Impedimento de licitar e contratar com órgãos e entidades da União com o consequente </w:t>
      </w:r>
      <w:r>
        <w:rPr>
          <w:sz w:val="24"/>
          <w:szCs w:val="24"/>
        </w:rPr>
        <w:t xml:space="preserve">descredenciamento</w:t>
      </w:r>
      <w:r>
        <w:rPr>
          <w:sz w:val="24"/>
          <w:szCs w:val="24"/>
        </w:rPr>
        <w:t xml:space="preserve"> no </w:t>
      </w:r>
      <w:r>
        <w:rPr>
          <w:sz w:val="24"/>
          <w:szCs w:val="24"/>
        </w:rPr>
        <w:t xml:space="preserve">SICAF</w:t>
      </w:r>
      <w:r>
        <w:rPr>
          <w:sz w:val="24"/>
          <w:szCs w:val="24"/>
        </w:rPr>
        <w:t xml:space="preserve"> pelo prazo de até 5 (cinco) anos.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 penalidade de multa pode ser aplicada cumulativamente com as demais sanções.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 ap</w:t>
      </w:r>
      <w:r>
        <w:rPr>
          <w:rFonts w:ascii="Arial" w:hAnsi="Arial" w:eastAsia="Arial" w:cs="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883"/>
        <w:numPr>
          <w:ilvl w:val="2"/>
          <w:numId w:val="1"/>
        </w:numPr>
        <w:ind w:left="1985" w:right="49" w:hanging="992"/>
        <w:jc w:val="both"/>
        <w:spacing w:after="160" w:line="276" w:lineRule="auto"/>
        <w:tabs>
          <w:tab w:val="left" w:pos="2127" w:leader="none"/>
        </w:tabs>
        <w:rPr>
          <w:sz w:val="24"/>
          <w:szCs w:val="24"/>
        </w:rPr>
      </w:pPr>
      <w:r>
        <w:rPr>
          <w:sz w:val="24"/>
          <w:szCs w:val="24"/>
        </w:rPr>
        <w:t xml:space="preserve">As notificações decorrentes de procedimentos de punições administrativas serão feitas através de Carta Registrada, com aviso de recebimento, publicação dos atos no </w:t>
      </w:r>
      <w:r>
        <w:rPr>
          <w:sz w:val="24"/>
          <w:szCs w:val="24"/>
        </w:rPr>
        <w:t xml:space="preserve">D.O.E</w:t>
      </w:r>
      <w:r>
        <w:rPr>
          <w:sz w:val="24"/>
          <w:szCs w:val="24"/>
        </w:rPr>
        <w:t xml:space="preserve"> do Município, pelos e-mails informados pelo fornecedor no certame e no decorrer da contratação e também cadastro da empresa no respetivo processo eletrônico 1doc;</w:t>
      </w:r>
      <w:r/>
    </w:p>
    <w:p>
      <w:pPr>
        <w:pStyle w:val="883"/>
        <w:numPr>
          <w:ilvl w:val="3"/>
          <w:numId w:val="1"/>
        </w:numPr>
        <w:ind w:left="2977" w:right="49" w:hanging="992"/>
        <w:jc w:val="both"/>
        <w:spacing w:after="160" w:line="276" w:lineRule="auto"/>
        <w:tabs>
          <w:tab w:val="left" w:pos="2835" w:leader="none"/>
        </w:tabs>
        <w:rPr>
          <w:sz w:val="24"/>
          <w:szCs w:val="24"/>
        </w:rPr>
      </w:pPr>
      <w:r>
        <w:rPr>
          <w:sz w:val="24"/>
          <w:szCs w:val="24"/>
        </w:rPr>
        <w:t xml:space="preserve">A empresa, de acordo com os dados fornecidos no processo licitatório, será cadastrada no processo eletrônico 1doc, assim, a mesma poderá ter vista dos autos e apresentar suas manifestações.</w:t>
      </w:r>
      <w:r/>
    </w:p>
    <w:p>
      <w:pPr>
        <w:pStyle w:val="883"/>
        <w:numPr>
          <w:ilvl w:val="2"/>
          <w:numId w:val="1"/>
        </w:numPr>
        <w:ind w:left="1985" w:right="49" w:hanging="992"/>
        <w:jc w:val="both"/>
        <w:spacing w:after="160" w:line="276" w:lineRule="auto"/>
        <w:tabs>
          <w:tab w:val="left" w:pos="2127" w:leader="none"/>
        </w:tabs>
        <w:rPr>
          <w:sz w:val="24"/>
          <w:szCs w:val="24"/>
        </w:rPr>
      </w:pPr>
      <w:r>
        <w:rPr>
          <w:sz w:val="24"/>
          <w:szCs w:val="24"/>
        </w:rPr>
        <w:t xml:space="preserve">Após a instauração do procedimento, a empresa será notificada através de um dos meios previstos no subitem anterior, para apresentar sua defesa prévia, no prazo de 5 (cinco) dias úteis;</w:t>
      </w:r>
      <w:r/>
    </w:p>
    <w:p>
      <w:pPr>
        <w:pStyle w:val="883"/>
        <w:numPr>
          <w:ilvl w:val="2"/>
          <w:numId w:val="1"/>
        </w:numPr>
        <w:ind w:left="1985" w:right="49" w:hanging="992"/>
        <w:jc w:val="both"/>
        <w:spacing w:after="160" w:line="276" w:lineRule="auto"/>
        <w:tabs>
          <w:tab w:val="left" w:pos="2127" w:leader="none"/>
        </w:tabs>
        <w:rPr>
          <w:sz w:val="24"/>
          <w:szCs w:val="24"/>
        </w:rPr>
      </w:pPr>
      <w:r>
        <w:rPr>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883"/>
        <w:numPr>
          <w:ilvl w:val="2"/>
          <w:numId w:val="1"/>
        </w:numPr>
        <w:ind w:left="1985" w:right="49" w:hanging="992"/>
        <w:jc w:val="both"/>
        <w:spacing w:after="160" w:line="276" w:lineRule="auto"/>
        <w:tabs>
          <w:tab w:val="left" w:pos="2127" w:leader="none"/>
        </w:tabs>
        <w:rPr>
          <w:sz w:val="24"/>
          <w:szCs w:val="24"/>
        </w:rPr>
      </w:pPr>
      <w:r>
        <w:rPr>
          <w:sz w:val="24"/>
          <w:szCs w:val="24"/>
        </w:rPr>
        <w:t xml:space="preserve">Após a decisão, independente da aplicação ou não de sanções, a empresa será cientificada através de um dos meios previstos no subitem 21.4.1, sendo certo que terá outros 5 (cinco) dias úteis para </w:t>
      </w:r>
      <w:r>
        <w:rPr>
          <w:sz w:val="24"/>
          <w:szCs w:val="24"/>
        </w:rPr>
        <w:t xml:space="preserve">apresentação de recurso à autoridade máxima, que decidirá no prazo máximo de 30 (trinta) dias, podendo ser prorrogado por igual período.</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As penalidades serão obrigatoriamente registradas no </w:t>
      </w:r>
      <w:r>
        <w:rPr>
          <w:rFonts w:ascii="Arial" w:hAnsi="Arial" w:eastAsia="Arial" w:cs="Arial"/>
          <w:sz w:val="24"/>
          <w:szCs w:val="24"/>
        </w:rPr>
        <w:t xml:space="preserve">SICAF</w:t>
      </w:r>
      <w:r>
        <w:rPr>
          <w:rFonts w:ascii="Arial" w:hAnsi="Arial" w:eastAsia="Arial" w:cs="Arial"/>
          <w:sz w:val="24"/>
          <w:szCs w:val="24"/>
        </w:rPr>
        <w:t xml:space="preserve">. </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As demais sanções por atos praticados no decorrer da contratação poderão estar previstas no Termo de Referência (Anexo I). </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O pr</w:t>
      </w:r>
      <w:r>
        <w:rPr>
          <w:rFonts w:ascii="Arial" w:hAnsi="Arial" w:eastAsia="Arial" w:cs="Arial"/>
          <w:sz w:val="24"/>
          <w:szCs w:val="24"/>
        </w:rPr>
        <w:t xml:space="preserve">azo para pagamento de multas será de 05 (cinco) dias úteis a contar da notificação pela Secretaria Municipal de Fazenda da empresa apenada, sendo possível, a critério da Administração, o desconto das respectivas importâncias do valor eventualmente devido. </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O não pagamento de multas no prazo previsto ensejará a inscrição do respectivo valor como dívida ativa, sujeitando-se a LICITANTE ao processo judicial de execução.</w:t>
      </w:r>
      <w:r/>
    </w:p>
    <w:p>
      <w:pPr>
        <w:pStyle w:val="856"/>
        <w:numPr>
          <w:ilvl w:val="0"/>
          <w:numId w:val="1"/>
        </w:numPr>
        <w:contextualSpacing w:val="0"/>
        <w:ind w:left="284" w:right="49"/>
        <w:jc w:val="both"/>
        <w:spacing w:after="240" w:line="276" w:lineRule="auto"/>
        <w:widowControl w:val="off"/>
        <w:tabs>
          <w:tab w:val="left" w:pos="284" w:leader="none"/>
        </w:tabs>
        <w:rPr>
          <w:rFonts w:ascii="Arial" w:hAnsi="Arial" w:cs="Arial"/>
          <w:sz w:val="24"/>
          <w:szCs w:val="24"/>
        </w:rPr>
      </w:pPr>
      <w:r>
        <w:rPr>
          <w:rFonts w:ascii="Arial" w:hAnsi="Arial" w:eastAsia="Arial" w:cs="Arial"/>
          <w:b/>
          <w:sz w:val="24"/>
          <w:szCs w:val="24"/>
        </w:rPr>
        <w:t xml:space="preserve">DA IMPUGNAÇÃO AO EDITAL E DO PEDIDO DE ESCLARECIMENTO:</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 </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 impugnação deverá ser realizada por forma eletrônica, pelo e-mail </w:t>
      </w:r>
      <w:hyperlink r:id="rId21" w:tooltip="file:///C:\Users\OEM\Usuário\Downloads\licitacao.impugnacao@teresopolis.rj.gov.br" w:history="1">
        <w:r>
          <w:rPr>
            <w:rStyle w:val="854"/>
            <w:rFonts w:ascii="Arial" w:hAnsi="Arial" w:cs="Arial"/>
            <w:sz w:val="24"/>
            <w:szCs w:val="24"/>
          </w:rPr>
          <w:t xml:space="preserve">licitacao.impugnacao@teresopolis.rj.gov.br</w:t>
        </w:r>
      </w:hyperlink>
      <w:r>
        <w:rPr>
          <w:rFonts w:ascii="Arial" w:hAnsi="Arial" w:cs="Arial"/>
          <w:sz w:val="24"/>
          <w:szCs w:val="24"/>
        </w:rPr>
        <w:t xml:space="preserve">, </w:t>
      </w:r>
      <w:r>
        <w:rPr>
          <w:rFonts w:ascii="Arial" w:hAnsi="Arial" w:cs="Arial"/>
          <w:sz w:val="24"/>
          <w:szCs w:val="24"/>
        </w:rPr>
        <w:t xml:space="preserve">ou por petição protocolada através do link: </w:t>
      </w:r>
      <w:hyperlink r:id="rId22" w:tooltip="https://teresopolis.1doc.com.br/b.php?pg=wp/wp&amp;itd=5" w:history="1">
        <w:r>
          <w:rPr>
            <w:rStyle w:val="854"/>
            <w:rFonts w:ascii="Arial" w:hAnsi="Arial" w:cs="Arial"/>
            <w:sz w:val="24"/>
            <w:szCs w:val="24"/>
          </w:rPr>
          <w:t xml:space="preserve">https://teresopolis.1doc.com.br/b.php?pg=wp/wp&amp;itd=5</w:t>
        </w:r>
      </w:hyperlink>
      <w:r>
        <w:rPr>
          <w:rFonts w:ascii="Arial" w:hAnsi="Arial" w:cs="Arial"/>
          <w:sz w:val="24"/>
          <w:szCs w:val="24"/>
        </w:rPr>
        <w:t xml:space="preserve">. </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Caberá o pregoeiro, auxiliada pelos responsáveis pela elaboração deste Edital e seus anexos, decidir sobre a impugnação no prazo de até 02 (dois) dias úteis contados da data de recebimento da impugnação.</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Acolhida a impugnação, será definida e publicada nova data para a realização do certame.</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Os pedidos de </w:t>
      </w:r>
      <w:r>
        <w:rPr>
          <w:rFonts w:ascii="Arial" w:hAnsi="Arial" w:cs="Arial"/>
          <w:sz w:val="24"/>
          <w:szCs w:val="24"/>
        </w:rPr>
        <w:t xml:space="preserve">esclarecimentos referentes a este processo licitatório deverão ser enviados ao Pregoeiro, até 03 (três) dias úteis anteriores à data designada para abertura da sessão pública, exclusivamente por meio eletrônico via internet, no endereço indicado no Edital.</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pStyle w:val="883"/>
        <w:numPr>
          <w:ilvl w:val="2"/>
          <w:numId w:val="1"/>
        </w:numPr>
        <w:ind w:left="1985" w:right="49" w:hanging="992"/>
        <w:jc w:val="both"/>
        <w:spacing w:after="160" w:line="276" w:lineRule="auto"/>
        <w:tabs>
          <w:tab w:val="left" w:pos="2127" w:leader="none"/>
        </w:tabs>
        <w:rPr>
          <w:rFonts w:eastAsia="Roman 12cpi"/>
          <w:sz w:val="24"/>
          <w:szCs w:val="24"/>
          <w:lang w:val="pt-BR"/>
        </w:rPr>
      </w:pPr>
      <w:r>
        <w:rPr>
          <w:color w:val="000000"/>
          <w:sz w:val="24"/>
          <w:szCs w:val="24"/>
        </w:rPr>
        <w:t xml:space="preserve">A concessão de efeito suspensivo à impugnação é medida </w:t>
      </w:r>
      <w:r>
        <w:rPr>
          <w:color w:val="000000"/>
          <w:sz w:val="24"/>
          <w:szCs w:val="24"/>
        </w:rPr>
        <w:t xml:space="preserve">excepcional</w:t>
      </w:r>
      <w:r>
        <w:rPr>
          <w:color w:val="000000"/>
          <w:sz w:val="24"/>
          <w:szCs w:val="24"/>
        </w:rPr>
        <w:t xml:space="preserve"> e deverá ser motivada pelo pregoeiro, nos autos do </w:t>
      </w:r>
      <w:r>
        <w:rPr>
          <w:rFonts w:eastAsia="Roman 12cpi"/>
          <w:sz w:val="24"/>
          <w:szCs w:val="24"/>
          <w:lang w:val="pt-BR"/>
        </w:rPr>
        <w:t xml:space="preserve">processo de licitação.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As respostas aos pedidos de esclarecimentos serão divulgadas pelo sistema e vincularão os participantes e a administração.</w:t>
      </w:r>
      <w:r/>
    </w:p>
    <w:p>
      <w:pPr>
        <w:pStyle w:val="856"/>
        <w:numPr>
          <w:ilvl w:val="0"/>
          <w:numId w:val="1"/>
        </w:numPr>
        <w:contextualSpacing w:val="0"/>
        <w:ind w:left="284" w:right="49"/>
        <w:jc w:val="both"/>
        <w:spacing w:after="240" w:line="276" w:lineRule="auto"/>
        <w:widowControl w:val="off"/>
        <w:tabs>
          <w:tab w:val="left" w:pos="284" w:leader="none"/>
        </w:tabs>
        <w:rPr>
          <w:rFonts w:ascii="Arial" w:hAnsi="Arial" w:cs="Arial"/>
          <w:sz w:val="24"/>
          <w:szCs w:val="24"/>
        </w:rPr>
      </w:pPr>
      <w:r>
        <w:rPr>
          <w:rFonts w:ascii="Arial" w:hAnsi="Arial" w:eastAsia="Arial" w:cs="Arial"/>
          <w:b/>
          <w:sz w:val="24"/>
          <w:szCs w:val="24"/>
        </w:rPr>
        <w:t xml:space="preserve">DAS </w:t>
      </w:r>
      <w:r>
        <w:rPr>
          <w:rFonts w:ascii="Arial" w:hAnsi="Arial" w:eastAsia="Arial" w:cs="Arial"/>
          <w:b/>
          <w:sz w:val="24"/>
          <w:szCs w:val="24"/>
        </w:rPr>
        <w:t xml:space="preserve">DISPOSIÇÕES GERAIS:</w:t>
      </w:r>
      <w:r/>
    </w:p>
    <w:p>
      <w:pPr>
        <w:numPr>
          <w:ilvl w:val="1"/>
          <w:numId w:val="1"/>
        </w:numPr>
        <w:ind w:left="993" w:right="49" w:hanging="709"/>
        <w:jc w:val="both"/>
        <w:spacing w:after="120" w:line="276" w:lineRule="auto"/>
        <w:rPr>
          <w:rFonts w:ascii="Arial" w:hAnsi="Arial" w:cs="Arial"/>
          <w:color w:val="000000"/>
          <w:sz w:val="24"/>
          <w:szCs w:val="24"/>
        </w:rPr>
      </w:pPr>
      <w:r/>
      <w:bookmarkStart w:id="1" w:name="_Hlk34388024"/>
      <w:r>
        <w:rPr>
          <w:rFonts w:ascii="Arial" w:hAnsi="Arial" w:cs="Arial"/>
          <w:color w:val="000000"/>
          <w:sz w:val="24"/>
          <w:szCs w:val="24"/>
        </w:rPr>
        <w:t xml:space="preserve">Da sessão pública do Pregão divulgar-se-á Ata no sistema eletrônico.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expediente ou ocorrendo qualquer fa</w:t>
      </w:r>
      <w:r>
        <w:rPr>
          <w:rFonts w:ascii="Arial" w:hAnsi="Arial" w:cs="Arial"/>
          <w:color w:val="000000"/>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In</w:t>
      </w:r>
      <w:r>
        <w:rPr>
          <w:rFonts w:ascii="Arial" w:hAnsi="Arial" w:cs="Arial"/>
          <w:color w:val="000000"/>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No julgamento das propostas e da habilitação, o Pregoeiro poder</w:t>
      </w:r>
      <w:r>
        <w:rPr>
          <w:rFonts w:ascii="Arial" w:hAnsi="Arial" w:cs="Arial"/>
          <w:color w:val="000000"/>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homologação do resultado desta licitação não implicará direito à contratação.</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Em caso de divergência entre disposições deste Edital e de seus anexos ou demais peças que compõem o processo, prevalecerá as deste Edital.</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O Edital está disponibilizado, na íntegra, no endereço eletrônico www.licitacao.teresopolis.rj.gov.br, e também poderão ser lidos e/ou obtidos </w:t>
      </w:r>
      <w:r>
        <w:rPr>
          <w:rFonts w:ascii="Arial" w:hAnsi="Arial" w:cs="Arial"/>
          <w:color w:val="000000"/>
          <w:sz w:val="24"/>
          <w:szCs w:val="24"/>
        </w:rPr>
        <w:t xml:space="preserve">no endereço Avenida Feliciano Sodré, 595, 1º andar, Várzea, Teresópolis, RJ, nos dias úteis, no horário das 12:00 horas às 18:00 horas, mesmo endereço e período no qual os autos do processo administrativo permanecerão com vista franqueada aos interessados.</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23" w:tooltip="https://teresopolis.1doc.com.br/b.php?pg=wp/wp&amp;itd=5" w:history="1">
        <w:r>
          <w:rPr>
            <w:rStyle w:val="854"/>
            <w:rFonts w:ascii="Arial" w:hAnsi="Arial"/>
            <w:sz w:val="24"/>
            <w:szCs w:val="24"/>
          </w:rPr>
          <w:t xml:space="preserve">https://teresopolis.1doc.com.br/b.php?pg=wp/wp&amp;itd=5</w:t>
        </w:r>
      </w:hyperlink>
      <w:r>
        <w:rPr>
          <w:rFonts w:ascii="Arial" w:hAnsi="Arial"/>
          <w:sz w:val="24"/>
          <w:szCs w:val="24"/>
        </w:rPr>
        <w:t xml:space="preserve">.</w:t>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O foro da Cidade de Teresópolis, será o único competente para dirimir e julgar toda e qualquer dúvida relativa ao presente procedimento, com exclusão de qualquer outro.</w:t>
      </w:r>
      <w:bookmarkEnd w:id="1"/>
      <w:r/>
      <w:r/>
    </w:p>
    <w:p>
      <w:pPr>
        <w:numPr>
          <w:ilvl w:val="1"/>
          <w:numId w:val="1"/>
        </w:numPr>
        <w:ind w:left="993" w:right="49" w:hanging="709"/>
        <w:jc w:val="both"/>
        <w:spacing w:after="120" w:line="240" w:lineRule="auto"/>
        <w:rPr>
          <w:rFonts w:ascii="Arial" w:hAnsi="Arial" w:cs="Arial"/>
          <w:color w:val="000000"/>
          <w:sz w:val="24"/>
          <w:szCs w:val="24"/>
        </w:rPr>
      </w:pPr>
      <w:r>
        <w:rPr>
          <w:rFonts w:ascii="Arial" w:hAnsi="Arial" w:cs="Arial"/>
          <w:color w:val="000000"/>
          <w:sz w:val="24"/>
          <w:szCs w:val="24"/>
        </w:rPr>
        <w:t xml:space="preserve">São integrantes deste Edital:</w:t>
      </w:r>
      <w:r/>
    </w:p>
    <w:p>
      <w:pPr>
        <w:pStyle w:val="853"/>
        <w:ind w:left="993" w:right="49"/>
        <w:jc w:val="both"/>
        <w:spacing w:after="120" w:line="240" w:lineRule="auto"/>
        <w:rPr>
          <w:rFonts w:ascii="Arial" w:hAnsi="Arial" w:eastAsia="Arial" w:cs="Arial"/>
          <w:sz w:val="24"/>
          <w:szCs w:val="24"/>
        </w:rPr>
      </w:pPr>
      <w:r>
        <w:rPr>
          <w:rFonts w:ascii="Arial" w:hAnsi="Arial" w:eastAsia="Arial" w:cs="Arial"/>
          <w:sz w:val="24"/>
          <w:szCs w:val="24"/>
        </w:rPr>
        <w:t xml:space="preserve">Anexo I</w:t>
      </w:r>
      <w:r>
        <w:rPr>
          <w:rFonts w:ascii="Arial" w:hAnsi="Arial" w:eastAsia="Arial" w:cs="Arial"/>
          <w:sz w:val="24"/>
          <w:szCs w:val="24"/>
        </w:rPr>
        <w:tab/>
        <w:t xml:space="preserve">Termo de Referência.</w:t>
      </w:r>
      <w:r/>
    </w:p>
    <w:p>
      <w:pPr>
        <w:pStyle w:val="853"/>
        <w:ind w:left="993" w:right="49"/>
        <w:jc w:val="both"/>
        <w:spacing w:after="120" w:line="240" w:lineRule="auto"/>
        <w:rPr>
          <w:rFonts w:ascii="Arial" w:hAnsi="Arial" w:eastAsia="Arial" w:cs="Arial"/>
          <w:sz w:val="24"/>
          <w:szCs w:val="24"/>
        </w:rPr>
      </w:pPr>
      <w:r>
        <w:rPr>
          <w:rFonts w:ascii="Arial" w:hAnsi="Arial" w:eastAsia="Arial" w:cs="Arial"/>
          <w:sz w:val="24"/>
          <w:szCs w:val="24"/>
        </w:rPr>
        <w:t xml:space="preserve">Anexo II</w:t>
      </w:r>
      <w:r>
        <w:rPr>
          <w:rFonts w:ascii="Arial" w:hAnsi="Arial" w:eastAsia="Arial" w:cs="Arial"/>
          <w:sz w:val="24"/>
          <w:szCs w:val="24"/>
        </w:rPr>
        <w:tab/>
        <w:t xml:space="preserve">Modelo de Proposta de Preços.</w:t>
      </w:r>
      <w:r/>
    </w:p>
    <w:p>
      <w:pPr>
        <w:pStyle w:val="853"/>
        <w:ind w:left="993" w:right="49"/>
        <w:jc w:val="both"/>
        <w:spacing w:after="120" w:line="240" w:lineRule="auto"/>
        <w:rPr>
          <w:rFonts w:ascii="Arial" w:hAnsi="Arial" w:eastAsia="Arial" w:cs="Arial"/>
          <w:sz w:val="24"/>
          <w:szCs w:val="24"/>
        </w:rPr>
      </w:pPr>
      <w:r>
        <w:rPr>
          <w:rFonts w:ascii="Arial" w:hAnsi="Arial" w:eastAsia="Arial" w:cs="Arial"/>
          <w:sz w:val="24"/>
          <w:szCs w:val="24"/>
        </w:rPr>
        <w:t xml:space="preserve">Anexo III</w:t>
      </w:r>
      <w:r>
        <w:rPr>
          <w:rFonts w:ascii="Arial" w:hAnsi="Arial" w:eastAsia="Arial" w:cs="Arial"/>
          <w:sz w:val="24"/>
          <w:szCs w:val="24"/>
        </w:rPr>
        <w:tab/>
        <w:t xml:space="preserve">Modelo análise econômico-financeiro.</w:t>
      </w:r>
      <w:r/>
    </w:p>
    <w:p>
      <w:pPr>
        <w:pStyle w:val="853"/>
        <w:ind w:left="993" w:right="49"/>
        <w:jc w:val="both"/>
        <w:spacing w:after="120" w:line="240" w:lineRule="auto"/>
        <w:rPr>
          <w:rFonts w:ascii="Arial" w:hAnsi="Arial" w:eastAsia="Arial" w:cs="Arial"/>
          <w:sz w:val="24"/>
          <w:szCs w:val="24"/>
        </w:rPr>
      </w:pPr>
      <w:r>
        <w:rPr>
          <w:rFonts w:ascii="Arial" w:hAnsi="Arial" w:eastAsia="Arial" w:cs="Arial"/>
          <w:sz w:val="24"/>
          <w:szCs w:val="24"/>
        </w:rPr>
        <w:t xml:space="preserve">Anexo IV</w:t>
      </w:r>
      <w:r>
        <w:rPr>
          <w:rFonts w:ascii="Arial" w:hAnsi="Arial" w:eastAsia="Arial" w:cs="Arial"/>
          <w:sz w:val="24"/>
          <w:szCs w:val="24"/>
        </w:rPr>
        <w:tab/>
        <w:t xml:space="preserve">Minuta do contrato.</w:t>
      </w:r>
      <w:r/>
    </w:p>
    <w:p>
      <w:pPr>
        <w:pStyle w:val="853"/>
        <w:ind w:left="2127" w:right="49" w:hanging="1134"/>
        <w:jc w:val="both"/>
        <w:spacing w:after="120" w:line="240" w:lineRule="auto"/>
        <w:rPr>
          <w:rFonts w:ascii="Arial" w:hAnsi="Arial" w:eastAsia="Arial" w:cs="Arial"/>
          <w:sz w:val="24"/>
          <w:szCs w:val="24"/>
        </w:rPr>
      </w:pPr>
      <w:r>
        <w:rPr>
          <w:rFonts w:ascii="Arial" w:hAnsi="Arial" w:eastAsia="Arial" w:cs="Arial"/>
          <w:sz w:val="24"/>
          <w:szCs w:val="24"/>
        </w:rPr>
        <w:t xml:space="preserve">Anexo V</w:t>
      </w:r>
      <w:r>
        <w:rPr>
          <w:rFonts w:ascii="Arial" w:hAnsi="Arial" w:eastAsia="Arial" w:cs="Arial"/>
          <w:sz w:val="24"/>
          <w:szCs w:val="24"/>
        </w:rPr>
        <w:tab/>
        <w:t xml:space="preserve">Modelo de declaração conjunta sobre funcionário inelegível, prazo de entrega e do Artigo 88 da Lei Orgânica Municipal.</w:t>
      </w:r>
      <w:r/>
    </w:p>
    <w:p>
      <w:pPr>
        <w:pStyle w:val="853"/>
        <w:jc w:val="both"/>
        <w:spacing w:line="276" w:lineRule="auto"/>
        <w:rPr>
          <w:rFonts w:ascii="Arial" w:hAnsi="Arial" w:eastAsia="Arial" w:cs="Arial"/>
          <w:b/>
          <w:sz w:val="24"/>
          <w:szCs w:val="24"/>
        </w:rPr>
      </w:pPr>
      <w:r>
        <w:rPr>
          <w:rFonts w:ascii="Arial" w:hAnsi="Arial" w:eastAsia="Arial" w:cs="Arial"/>
          <w:b/>
          <w:sz w:val="24"/>
          <w:szCs w:val="24"/>
        </w:rPr>
      </w:r>
      <w:r/>
    </w:p>
    <w:p>
      <w:pPr>
        <w:pStyle w:val="853"/>
        <w:jc w:val="center"/>
        <w:spacing w:line="276" w:lineRule="auto"/>
        <w:rPr>
          <w:rFonts w:ascii="Arial" w:hAnsi="Arial" w:eastAsia="Arial" w:cs="Arial"/>
          <w:b/>
          <w:sz w:val="24"/>
          <w:szCs w:val="24"/>
        </w:rPr>
      </w:pPr>
      <w:r>
        <w:rPr>
          <w:rFonts w:ascii="Arial" w:hAnsi="Arial" w:eastAsia="Arial" w:cs="Arial"/>
          <w:b/>
          <w:sz w:val="24"/>
          <w:szCs w:val="24"/>
        </w:rPr>
        <w:t xml:space="preserve">Teresópolis, 30 de setembro</w:t>
      </w:r>
      <w:r>
        <w:rPr>
          <w:rFonts w:ascii="Arial" w:hAnsi="Arial" w:eastAsia="Arial" w:cs="Arial"/>
          <w:b/>
          <w:sz w:val="24"/>
          <w:szCs w:val="24"/>
        </w:rPr>
        <w:t xml:space="preserve"> de 2022.</w:t>
      </w:r>
      <w:r/>
    </w:p>
    <w:p>
      <w:pPr>
        <w:pStyle w:val="850"/>
        <w:spacing w:line="276" w:lineRule="auto"/>
        <w:tabs>
          <w:tab w:val="right" w:pos="8080" w:leader="none"/>
        </w:tabs>
        <w:rPr>
          <w:rFonts w:ascii="Arial" w:hAnsi="Arial" w:cs="Arial"/>
          <w:b/>
          <w:sz w:val="24"/>
          <w:szCs w:val="24"/>
        </w:rPr>
      </w:pPr>
      <w:r>
        <w:rPr>
          <w:rFonts w:ascii="Arial" w:hAnsi="Arial" w:cs="Arial"/>
          <w:b/>
          <w:sz w:val="24"/>
          <w:szCs w:val="24"/>
        </w:rPr>
      </w:r>
      <w:r/>
    </w:p>
    <w:p>
      <w:pPr>
        <w:jc w:val="center"/>
        <w:rPr>
          <w:rFonts w:ascii="Arial" w:hAnsi="Arial" w:eastAsia="Arial" w:cs="Arial"/>
          <w:b/>
          <w:sz w:val="24"/>
          <w:szCs w:val="24"/>
        </w:rPr>
      </w:pPr>
      <w:r>
        <w:rPr>
          <w:rFonts w:ascii="Arial" w:hAnsi="Arial" w:eastAsia="Arial" w:cs="Arial"/>
          <w:b/>
          <w:sz w:val="24"/>
          <w:szCs w:val="24"/>
        </w:rPr>
        <w:t xml:space="preserve">Clarissa </w:t>
      </w:r>
      <w:r>
        <w:rPr>
          <w:rFonts w:ascii="Arial" w:hAnsi="Arial" w:eastAsia="Arial" w:cs="Arial"/>
          <w:b/>
          <w:sz w:val="24"/>
          <w:szCs w:val="24"/>
        </w:rPr>
        <w:t xml:space="preserve">Rippel</w:t>
      </w:r>
      <w:r>
        <w:rPr>
          <w:rFonts w:ascii="Arial" w:hAnsi="Arial" w:eastAsia="Arial" w:cs="Arial"/>
          <w:b/>
          <w:sz w:val="24"/>
          <w:szCs w:val="24"/>
        </w:rPr>
        <w:t xml:space="preserve"> </w:t>
      </w:r>
      <w:r>
        <w:rPr>
          <w:rFonts w:ascii="Arial" w:hAnsi="Arial" w:eastAsia="Arial" w:cs="Arial"/>
          <w:b/>
          <w:sz w:val="24"/>
          <w:szCs w:val="24"/>
        </w:rPr>
        <w:t xml:space="preserve">Bolson</w:t>
      </w:r>
      <w:r>
        <w:rPr>
          <w:rFonts w:ascii="Arial" w:hAnsi="Arial" w:eastAsia="Arial" w:cs="Arial"/>
          <w:b/>
          <w:sz w:val="24"/>
          <w:szCs w:val="24"/>
        </w:rPr>
        <w:t xml:space="preserve"> Guita</w:t>
      </w:r>
      <w:r/>
    </w:p>
    <w:p>
      <w:pPr>
        <w:jc w:val="center"/>
        <w:rPr>
          <w:rFonts w:ascii="Arial" w:hAnsi="Arial" w:eastAsia="Arial" w:cs="Arial"/>
          <w:b/>
          <w:sz w:val="24"/>
          <w:szCs w:val="24"/>
        </w:rPr>
      </w:pPr>
      <w:r>
        <w:rPr>
          <w:rFonts w:ascii="Arial" w:hAnsi="Arial" w:eastAsia="Arial" w:cs="Arial"/>
          <w:b/>
          <w:sz w:val="24"/>
          <w:szCs w:val="24"/>
        </w:rPr>
        <w:t xml:space="preserve">Secretária Municipal de Saúde</w:t>
      </w:r>
      <w:r/>
    </w:p>
    <w:p>
      <w:pPr>
        <w:jc w:val="center"/>
        <w:rPr>
          <w:rFonts w:ascii="Arial" w:hAnsi="Arial" w:eastAsia="Arial" w:cs="Arial"/>
          <w:b/>
          <w:sz w:val="24"/>
          <w:szCs w:val="24"/>
        </w:rPr>
      </w:pPr>
      <w:r>
        <w:rPr>
          <w:rFonts w:ascii="Arial" w:hAnsi="Arial" w:eastAsia="Arial" w:cs="Arial"/>
          <w:b/>
          <w:sz w:val="24"/>
          <w:szCs w:val="24"/>
        </w:rPr>
        <w:t xml:space="preserve">Mat. 4.19950-6</w:t>
      </w:r>
      <w:r/>
    </w:p>
    <w:p>
      <w:pPr>
        <w:pStyle w:val="850"/>
        <w:jc w:val="center"/>
        <w:spacing w:before="57" w:after="57" w:line="276" w:lineRule="auto"/>
        <w:tabs>
          <w:tab w:val="right" w:pos="8080" w:leader="none"/>
        </w:tabs>
        <w:rPr>
          <w:rFonts w:ascii="Arial" w:hAnsi="Arial"/>
          <w:b/>
          <w:bCs/>
          <w:sz w:val="24"/>
          <w:szCs w:val="24"/>
        </w:rPr>
      </w:pPr>
      <w:r>
        <w:rPr>
          <w:rFonts w:ascii="Arial" w:hAnsi="Arial" w:eastAsia="Arial"/>
          <w:b/>
          <w:sz w:val="24"/>
          <w:szCs w:val="24"/>
          <w:highlight w:val="none"/>
          <w:u w:val="single"/>
        </w:rPr>
      </w:r>
      <w:r>
        <w:rPr>
          <w:rFonts w:ascii="Arial" w:hAnsi="Arial" w:eastAsia="Arial"/>
          <w:b/>
          <w:sz w:val="24"/>
          <w:szCs w:val="24"/>
          <w:highlight w:val="none"/>
          <w:u w:val="single"/>
        </w:rPr>
      </w:r>
    </w:p>
    <w:p>
      <w:pPr>
        <w:pStyle w:val="850"/>
        <w:jc w:val="center"/>
        <w:spacing w:before="57" w:after="57" w:line="276" w:lineRule="auto"/>
        <w:tabs>
          <w:tab w:val="right" w:pos="8080" w:leader="none"/>
        </w:tabs>
        <w:rPr>
          <w:rFonts w:ascii="Arial" w:hAnsi="Arial" w:eastAsia="Arial"/>
          <w:b/>
          <w:bCs/>
          <w:sz w:val="24"/>
          <w:szCs w:val="24"/>
          <w:highlight w:val="none"/>
          <w:u w:val="single"/>
        </w:rPr>
      </w:pPr>
      <w:r>
        <w:rPr>
          <w:rFonts w:ascii="Arial" w:hAnsi="Arial" w:eastAsia="Arial"/>
          <w:b/>
          <w:sz w:val="24"/>
          <w:szCs w:val="24"/>
          <w:u w:val="single"/>
        </w:rPr>
        <w:t xml:space="preserve">ANEXO I</w:t>
      </w:r>
      <w:r/>
    </w:p>
    <w:p>
      <w:pPr>
        <w:pStyle w:val="853"/>
        <w:jc w:val="center"/>
        <w:spacing w:before="57" w:after="57" w:line="276" w:lineRule="auto"/>
        <w:rPr>
          <w:rFonts w:ascii="Arial" w:hAnsi="Arial" w:eastAsia="Arial"/>
          <w:b/>
          <w:sz w:val="16"/>
          <w:szCs w:val="16"/>
          <w:u w:val="single"/>
        </w:rPr>
      </w:pPr>
      <w:r>
        <w:rPr>
          <w:rFonts w:ascii="Arial" w:hAnsi="Arial" w:eastAsia="Arial"/>
          <w:b/>
          <w:sz w:val="16"/>
          <w:szCs w:val="16"/>
          <w:u w:val="single"/>
        </w:rPr>
      </w:r>
      <w:r/>
    </w:p>
    <w:p>
      <w:pPr>
        <w:pStyle w:val="853"/>
        <w:jc w:val="center"/>
        <w:spacing w:before="57" w:after="57" w:line="276" w:lineRule="auto"/>
        <w:rPr>
          <w:rFonts w:ascii="Arial" w:hAnsi="Arial" w:eastAsia="Arial"/>
          <w:b/>
          <w:sz w:val="24"/>
          <w:szCs w:val="24"/>
        </w:rPr>
      </w:pPr>
      <w:r>
        <w:rPr>
          <w:rFonts w:ascii="Arial" w:hAnsi="Arial" w:eastAsia="Arial"/>
          <w:b/>
          <w:sz w:val="24"/>
          <w:szCs w:val="24"/>
        </w:rPr>
        <w:t xml:space="preserve">TERMO DE REFERÊNCIA</w:t>
      </w:r>
      <w:r/>
    </w:p>
    <w:p>
      <w:pPr>
        <w:pStyle w:val="856"/>
        <w:numPr>
          <w:ilvl w:val="0"/>
          <w:numId w:val="28"/>
        </w:numPr>
        <w:contextualSpacing w:val="0"/>
        <w:ind w:right="49"/>
        <w:jc w:val="both"/>
        <w:spacing w:after="240" w:line="276" w:lineRule="auto"/>
        <w:widowControl w:val="off"/>
        <w:tabs>
          <w:tab w:val="left" w:pos="284" w:leader="none"/>
        </w:tabs>
        <w:rPr>
          <w:rFonts w:ascii="Arial" w:hAnsi="Arial"/>
          <w:sz w:val="24"/>
          <w:szCs w:val="24"/>
        </w:rPr>
      </w:pPr>
      <w:r>
        <w:rPr>
          <w:rFonts w:ascii="Arial" w:hAnsi="Arial" w:eastAsia="Arial"/>
          <w:b/>
          <w:sz w:val="24"/>
          <w:szCs w:val="24"/>
        </w:rPr>
        <w:t xml:space="preserve">INTRODUÇÃO</w:t>
      </w:r>
      <w:r>
        <w:rPr>
          <w:rFonts w:ascii="Arial" w:hAnsi="Arial" w:eastAsia="Arial"/>
          <w:b/>
          <w:sz w:val="24"/>
          <w:szCs w:val="24"/>
        </w:rPr>
        <w:t xml:space="preserve">:</w:t>
      </w:r>
      <w:r/>
    </w:p>
    <w:p>
      <w:pPr>
        <w:pStyle w:val="853"/>
        <w:numPr>
          <w:ilvl w:val="1"/>
          <w:numId w:val="28"/>
        </w:numPr>
        <w:jc w:val="both"/>
        <w:spacing w:before="57" w:after="57" w:line="360" w:lineRule="auto"/>
        <w:rPr>
          <w:rFonts w:ascii="Arial" w:hAnsi="Arial" w:cs="Arial"/>
          <w:bCs/>
          <w:sz w:val="24"/>
          <w:szCs w:val="24"/>
        </w:rPr>
      </w:pPr>
      <w:r>
        <w:rPr>
          <w:rFonts w:ascii="Arial" w:hAnsi="Arial" w:cs="Arial"/>
          <w:bCs/>
          <w:sz w:val="24"/>
          <w:szCs w:val="24"/>
        </w:rPr>
        <w:t xml:space="preserve">Este Termo de Referência foi elaborado em cumprimento ao disposto</w:t>
      </w:r>
      <w:r>
        <w:rPr>
          <w:rFonts w:ascii="Arial" w:hAnsi="Arial" w:cs="Arial"/>
          <w:bCs/>
          <w:sz w:val="24"/>
          <w:szCs w:val="24"/>
        </w:rPr>
        <w:t xml:space="preserve"> na Lei Federal nº 10.520/2002, o Decreto Municipal 3.674 de 18 de maio de 2009, Decreto Municipal 4.845 de 07 de fevereiro de 2017 e as disposições contidas na Lei Federal no 8.666/93 e Lei Complementar Federal nº 123/2006 e suas posteriores modificações.</w:t>
      </w:r>
      <w:r/>
    </w:p>
    <w:p>
      <w:pPr>
        <w:pStyle w:val="853"/>
        <w:numPr>
          <w:ilvl w:val="0"/>
          <w:numId w:val="28"/>
        </w:numPr>
        <w:ind w:right="49"/>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OBJETO:</w:t>
      </w:r>
      <w:r/>
    </w:p>
    <w:p>
      <w:pPr>
        <w:pStyle w:val="853"/>
        <w:numPr>
          <w:ilvl w:val="1"/>
          <w:numId w:val="28"/>
        </w:numPr>
        <w:jc w:val="both"/>
        <w:spacing w:before="57" w:after="57" w:line="360" w:lineRule="auto"/>
        <w:rPr>
          <w:rFonts w:ascii="Arial" w:hAnsi="Arial" w:cs="Arial"/>
          <w:bCs/>
          <w:sz w:val="24"/>
          <w:szCs w:val="24"/>
        </w:rPr>
      </w:pPr>
      <w:r>
        <w:rPr>
          <w:rFonts w:ascii="Arial" w:hAnsi="Arial" w:cs="Arial"/>
          <w:bCs/>
          <w:sz w:val="24"/>
          <w:szCs w:val="24"/>
        </w:rPr>
        <w:t xml:space="preserve">AQUISIÇÃO DE MEDICAMENTOS DA FARMÁCIA BÁSICA PARA SEIS MESES DE CONSUMO ESTIMADO, COM ENTREGA DE FORMA ORDINÁRIA.</w:t>
      </w:r>
      <w:r/>
    </w:p>
    <w:p>
      <w:pPr>
        <w:pStyle w:val="853"/>
        <w:numPr>
          <w:ilvl w:val="1"/>
          <w:numId w:val="28"/>
        </w:numPr>
        <w:jc w:val="both"/>
        <w:spacing w:before="57" w:after="57" w:line="360" w:lineRule="auto"/>
        <w:rPr>
          <w:rFonts w:ascii="Arial" w:hAnsi="Arial" w:cs="Arial"/>
          <w:bCs/>
          <w:sz w:val="24"/>
          <w:szCs w:val="24"/>
        </w:rPr>
      </w:pPr>
      <w:r>
        <w:rPr>
          <w:rFonts w:ascii="Arial" w:hAnsi="Arial" w:cs="Arial"/>
          <w:caps/>
          <w:sz w:val="24"/>
          <w:szCs w:val="24"/>
        </w:rPr>
        <w:t xml:space="preserve">AQUISIÇÃO de medicamentos da Farmácia Básica COM RECURSOS ORIUNDOS DA PORTARIA N° 2.516, DE 21 DE SETEMBRO DE 2020 (VERBA COVID), para seis meses de consumo estimado, COM ENTREGA DE FORMA Ordinária.</w:t>
      </w:r>
      <w:r/>
    </w:p>
    <w:p>
      <w:pPr>
        <w:pStyle w:val="856"/>
        <w:numPr>
          <w:ilvl w:val="0"/>
          <w:numId w:val="28"/>
        </w:numPr>
        <w:contextualSpacing w:val="0"/>
        <w:ind w:right="49"/>
        <w:jc w:val="both"/>
        <w:spacing w:after="240" w:line="276" w:lineRule="auto"/>
        <w:widowControl w:val="off"/>
        <w:tabs>
          <w:tab w:val="left" w:pos="284" w:leader="none"/>
        </w:tabs>
        <w:rPr>
          <w:rFonts w:ascii="Arial" w:hAnsi="Arial"/>
          <w:sz w:val="24"/>
          <w:szCs w:val="24"/>
        </w:rPr>
      </w:pPr>
      <w:r>
        <w:rPr>
          <w:rFonts w:ascii="Arial" w:hAnsi="Arial" w:eastAsia="Arial"/>
          <w:b/>
          <w:sz w:val="24"/>
          <w:szCs w:val="24"/>
        </w:rPr>
        <w:t xml:space="preserve">JUSTIFICATIVA</w:t>
      </w:r>
      <w:r>
        <w:rPr>
          <w:rFonts w:ascii="Arial" w:hAnsi="Arial" w:cs="Arial"/>
          <w:b/>
          <w:sz w:val="24"/>
          <w:szCs w:val="24"/>
        </w:rPr>
        <w:t xml:space="preserve">: </w:t>
      </w:r>
      <w:r/>
    </w:p>
    <w:p>
      <w:pPr>
        <w:pStyle w:val="853"/>
        <w:numPr>
          <w:ilvl w:val="1"/>
          <w:numId w:val="28"/>
        </w:numPr>
        <w:jc w:val="both"/>
        <w:spacing w:before="57" w:after="57" w:line="360" w:lineRule="auto"/>
        <w:rPr>
          <w:rFonts w:ascii="Arial" w:hAnsi="Arial" w:cs="Arial"/>
          <w:bCs/>
          <w:sz w:val="24"/>
          <w:szCs w:val="24"/>
        </w:rPr>
      </w:pPr>
      <w:r>
        <w:rPr>
          <w:rFonts w:ascii="Arial" w:hAnsi="Arial" w:cs="Arial"/>
          <w:bCs/>
          <w:sz w:val="24"/>
          <w:szCs w:val="24"/>
        </w:rPr>
        <w:t xml:space="preserve">A realização de processo de pregão para aquisição para um período estimado de 06 (seis) meses, deste objeto se justifica face ao interesse público presente na necessidade da utilização dos insumos/medicamentos </w:t>
      </w:r>
      <w:r>
        <w:rPr>
          <w:rFonts w:ascii="Arial" w:hAnsi="Arial" w:cs="Arial"/>
          <w:bCs/>
          <w:sz w:val="24"/>
          <w:szCs w:val="24"/>
        </w:rPr>
        <w:t xml:space="preserve">pela Secretaria Municipal de Saúde desta Administração Pública Municipal, para garantia de abastecimento das unidades de atendimento da Rede SUS Teresópolis e também devido ao vencimento do pregão eletrônico n°001/21. Estes medicamentos não fazem parte da </w:t>
      </w:r>
      <w:r>
        <w:rPr>
          <w:rFonts w:ascii="Arial" w:hAnsi="Arial" w:cs="Arial"/>
          <w:bCs/>
          <w:sz w:val="24"/>
          <w:szCs w:val="24"/>
        </w:rPr>
        <w:t xml:space="preserve">RENAME</w:t>
      </w:r>
      <w:r>
        <w:rPr>
          <w:rFonts w:ascii="Arial" w:hAnsi="Arial" w:cs="Arial"/>
          <w:bCs/>
          <w:sz w:val="24"/>
          <w:szCs w:val="24"/>
        </w:rPr>
        <w:t xml:space="preserve"> 2020, publicada pelo Ministério da Saúde, através da Portaria nº 3047, de 28 de novembro de 2019, mas fazem parte da padronização municipal conforme </w:t>
      </w:r>
      <w:r>
        <w:rPr>
          <w:rFonts w:ascii="Arial" w:hAnsi="Arial" w:cs="Arial"/>
          <w:bCs/>
          <w:sz w:val="24"/>
          <w:szCs w:val="24"/>
        </w:rPr>
        <w:t xml:space="preserve">REMUME</w:t>
      </w:r>
      <w:r>
        <w:rPr>
          <w:rFonts w:ascii="Arial" w:hAnsi="Arial" w:cs="Arial"/>
          <w:bCs/>
          <w:sz w:val="24"/>
          <w:szCs w:val="24"/>
        </w:rPr>
        <w:t xml:space="preserve"> 2019-2021, publicada através da Portaria SMS/</w:t>
      </w:r>
      <w:r>
        <w:rPr>
          <w:rFonts w:ascii="Arial" w:hAnsi="Arial" w:cs="Arial"/>
          <w:bCs/>
          <w:sz w:val="24"/>
          <w:szCs w:val="24"/>
        </w:rPr>
        <w:t xml:space="preserve">GS</w:t>
      </w:r>
      <w:r>
        <w:rPr>
          <w:rFonts w:ascii="Arial" w:hAnsi="Arial" w:cs="Arial"/>
          <w:bCs/>
          <w:sz w:val="24"/>
          <w:szCs w:val="24"/>
        </w:rPr>
        <w:t xml:space="preserve"> nº 17/2019, em 22 de julho de 2019.</w:t>
      </w:r>
      <w:r/>
    </w:p>
    <w:p>
      <w:pPr>
        <w:pStyle w:val="853"/>
        <w:numPr>
          <w:ilvl w:val="1"/>
          <w:numId w:val="28"/>
        </w:numPr>
        <w:jc w:val="both"/>
        <w:spacing w:before="57" w:after="57" w:line="360" w:lineRule="auto"/>
        <w:rPr>
          <w:rFonts w:ascii="Arial" w:hAnsi="Arial" w:cs="Arial"/>
          <w:bCs/>
          <w:sz w:val="24"/>
          <w:szCs w:val="24"/>
        </w:rPr>
      </w:pPr>
      <w:r>
        <w:rPr>
          <w:rFonts w:ascii="Arial" w:hAnsi="Arial" w:cs="Arial"/>
          <w:bCs/>
          <w:sz w:val="24"/>
          <w:szCs w:val="24"/>
        </w:rPr>
        <w:t xml:space="preserve">A realização de processo de pregão para aquisição para um período estimado de 06 (seis) meses, deste objeto se justifica face ao interesse público presente na necessidade da utilização dos insumos/medicamen</w:t>
      </w:r>
      <w:r>
        <w:rPr>
          <w:rFonts w:ascii="Arial" w:hAnsi="Arial" w:cs="Arial"/>
          <w:bCs/>
          <w:sz w:val="24"/>
          <w:szCs w:val="24"/>
        </w:rPr>
        <w:t xml:space="preserve">tos pela Secretaria Municipal de Saúde desta Administração Pública Municipal, para garantia de abastecimento das unidades de atendimento da Rede SUS Teresópolis e também devido ao vencimento do pregão eletrônico n°001/21. Estes medicamentos fazem parte da </w:t>
      </w:r>
      <w:r>
        <w:rPr>
          <w:rFonts w:ascii="Arial" w:hAnsi="Arial" w:cs="Arial"/>
          <w:bCs/>
          <w:sz w:val="24"/>
          <w:szCs w:val="24"/>
        </w:rPr>
        <w:t xml:space="preserve">RENAME</w:t>
      </w:r>
      <w:r>
        <w:rPr>
          <w:rFonts w:ascii="Arial" w:hAnsi="Arial" w:cs="Arial"/>
          <w:bCs/>
          <w:sz w:val="24"/>
          <w:szCs w:val="24"/>
        </w:rPr>
        <w:t xml:space="preserve"> 2020, publicada pelo Ministério da Saúde, através da Portaria nº 3047, de 28 de novembro de 2019. Estes </w:t>
      </w:r>
      <w:r>
        <w:rPr>
          <w:rFonts w:ascii="Arial" w:hAnsi="Arial" w:cs="Arial"/>
          <w:bCs/>
          <w:sz w:val="24"/>
          <w:szCs w:val="24"/>
        </w:rPr>
        <w:t xml:space="preserve">medicamentos fazem parte da Portaria N° 2.516, de 21 de setembro de 2020, q</w:t>
      </w:r>
      <w:r>
        <w:rPr>
          <w:rFonts w:ascii="Arial" w:hAnsi="Arial" w:cs="Arial"/>
          <w:bCs/>
          <w:sz w:val="24"/>
          <w:szCs w:val="24"/>
        </w:rPr>
        <w:t xml:space="preserve">ue dispõe sobre a transferência de recursos financeiros de custeio para a aquisição de medicamentos do Componente Básico da Assistência Farmacêutica utilizados no âmbito da saúde mental em virtude dos impactos sociais ocasionados pela pandemia da COVID-19.</w:t>
      </w:r>
      <w:r/>
    </w:p>
    <w:p>
      <w:pPr>
        <w:pStyle w:val="856"/>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eastAsia="Arial"/>
          <w:b/>
          <w:sz w:val="24"/>
          <w:szCs w:val="24"/>
        </w:rPr>
        <w:t xml:space="preserve">DO </w:t>
      </w:r>
      <w:r>
        <w:rPr>
          <w:rFonts w:ascii="Arial" w:hAnsi="Arial" w:cs="Arial"/>
          <w:b/>
          <w:sz w:val="24"/>
          <w:szCs w:val="24"/>
        </w:rPr>
        <w:t xml:space="preserve">QUANTITATIVO E ESPECIFICAÇÕES:</w:t>
      </w:r>
      <w:r/>
    </w:p>
    <w:tbl>
      <w:tblPr>
        <w:tblW w:w="10686" w:type="dxa"/>
        <w:tblInd w:w="-998" w:type="dxa"/>
        <w:tblCellMar>
          <w:left w:w="70" w:type="dxa"/>
          <w:right w:w="70" w:type="dxa"/>
        </w:tblCellMar>
        <w:tblLook w:val="04A0" w:firstRow="1" w:lastRow="0" w:firstColumn="1" w:lastColumn="0" w:noHBand="0" w:noVBand="1"/>
      </w:tblPr>
      <w:tblGrid>
        <w:gridCol w:w="709"/>
        <w:gridCol w:w="1135"/>
        <w:gridCol w:w="992"/>
        <w:gridCol w:w="1559"/>
        <w:gridCol w:w="3402"/>
        <w:gridCol w:w="1275"/>
        <w:gridCol w:w="1614"/>
      </w:tblGrid>
      <w:tr>
        <w:trPr>
          <w:trHeight w:val="570"/>
        </w:trPr>
        <w:tc>
          <w:tcPr>
            <w:shd w:val="clear" w:color="000000" w:fill="aeaaaa"/>
            <w:tcBorders>
              <w:top w:val="single" w:color="auto"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ITEM</w:t>
            </w:r>
            <w:r/>
          </w:p>
        </w:tc>
        <w:tc>
          <w:tcPr>
            <w:shd w:val="clear" w:color="000000" w:fill="aeaaaa"/>
            <w:tcBorders>
              <w:top w:val="single" w:color="auto" w:sz="4" w:space="0"/>
              <w:left w:val="none" w:color="000000" w:sz="4" w:space="0"/>
              <w:bottom w:val="single" w:color="auto" w:sz="4" w:space="0"/>
              <w:right w:val="single" w:color="auto" w:sz="4" w:space="0"/>
            </w:tcBorders>
            <w:tcW w:w="1135"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CATMAT</w:t>
            </w:r>
            <w:r/>
          </w:p>
        </w:tc>
        <w:tc>
          <w:tcPr>
            <w:shd w:val="clear" w:color="000000" w:fill="aeaaaa"/>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QUANT</w:t>
            </w:r>
            <w:r/>
          </w:p>
        </w:tc>
        <w:tc>
          <w:tcPr>
            <w:shd w:val="clear" w:color="000000" w:fill="aeaaaa"/>
            <w:tcBorders>
              <w:top w:val="single" w:color="auto"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UNI</w:t>
            </w:r>
            <w:r/>
          </w:p>
        </w:tc>
        <w:tc>
          <w:tcPr>
            <w:shd w:val="clear" w:color="000000" w:fill="aeaaaa"/>
            <w:tcBorders>
              <w:top w:val="single" w:color="auto" w:sz="4" w:space="0"/>
              <w:left w:val="none" w:color="000000" w:sz="4" w:space="0"/>
              <w:bottom w:val="single" w:color="auto" w:sz="4" w:space="0"/>
              <w:right w:val="single" w:color="auto" w:sz="4" w:space="0"/>
            </w:tcBorders>
            <w:tcW w:w="3402"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DESCRIÇÃO</w:t>
            </w:r>
            <w:r/>
          </w:p>
        </w:tc>
        <w:tc>
          <w:tcPr>
            <w:shd w:val="clear" w:color="000000" w:fill="aeaaaa"/>
            <w:tcBorders>
              <w:top w:val="single" w:color="auto" w:sz="4" w:space="0"/>
              <w:left w:val="none" w:color="000000" w:sz="4" w:space="0"/>
              <w:bottom w:val="single" w:color="auto" w:sz="4" w:space="0"/>
              <w:right w:val="single" w:color="auto" w:sz="4" w:space="0"/>
            </w:tcBorders>
            <w:tcW w:w="1275"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VALOR UNITÁRIO</w:t>
            </w:r>
            <w:r/>
          </w:p>
        </w:tc>
        <w:tc>
          <w:tcPr>
            <w:shd w:val="clear" w:color="000000" w:fill="aeaaaa"/>
            <w:tcBorders>
              <w:top w:val="single" w:color="auto" w:sz="4" w:space="0"/>
              <w:left w:val="none" w:color="000000" w:sz="4" w:space="0"/>
              <w:bottom w:val="single" w:color="auto" w:sz="4" w:space="0"/>
              <w:right w:val="single" w:color="auto" w:sz="4" w:space="0"/>
            </w:tcBorders>
            <w:tcW w:w="1614"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VALOR           TOTAL</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470124</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FRASCO</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ACIDO GRAXOS ESSENCIAIS 200ML</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R$ 13,85</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R$ 4.155,00</w:t>
            </w:r>
            <w:r/>
          </w:p>
        </w:tc>
      </w:tr>
      <w:tr>
        <w:trPr>
          <w:trHeight w:val="5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327566</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800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AMPOLA</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ACIDO </w:t>
            </w:r>
            <w:r>
              <w:rPr>
                <w:rFonts w:ascii="Arial" w:hAnsi="Arial" w:eastAsia="Times New Roman" w:cs="Arial"/>
                <w:color w:val="000000"/>
                <w:lang w:eastAsia="pt-BR"/>
              </w:rPr>
              <w:t xml:space="preserve">TRANEXÂMICO</w:t>
            </w:r>
            <w:r>
              <w:rPr>
                <w:rFonts w:ascii="Arial" w:hAnsi="Arial" w:eastAsia="Times New Roman" w:cs="Arial"/>
                <w:color w:val="000000"/>
                <w:lang w:eastAsia="pt-BR"/>
              </w:rPr>
              <w:t xml:space="preserve">, 50MG/ML, SOLUÇÃO INJETÁVEL - AMPOLA 5ML</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R$ 7,89</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R$ 6.312,00</w:t>
            </w:r>
            <w:r/>
          </w:p>
        </w:tc>
      </w:tr>
      <w:tr>
        <w:trPr>
          <w:trHeight w:val="5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339846</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1.000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FRASCO- AMPOLA</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CEFEPIMA</w:t>
            </w:r>
            <w:r>
              <w:rPr>
                <w:rFonts w:ascii="Arial" w:hAnsi="Arial" w:eastAsia="Times New Roman" w:cs="Arial"/>
                <w:color w:val="000000"/>
                <w:lang w:eastAsia="pt-BR"/>
              </w:rPr>
              <w:t xml:space="preserve">, CLORIDRATO, 1G, PÓ </w:t>
            </w:r>
            <w:r>
              <w:rPr>
                <w:rFonts w:ascii="Arial" w:hAnsi="Arial" w:eastAsia="Times New Roman" w:cs="Arial"/>
                <w:color w:val="000000"/>
                <w:lang w:eastAsia="pt-BR"/>
              </w:rPr>
              <w:t xml:space="preserve">LIÓFILO</w:t>
            </w:r>
            <w:r>
              <w:rPr>
                <w:rFonts w:ascii="Arial" w:hAnsi="Arial" w:eastAsia="Times New Roman" w:cs="Arial"/>
                <w:color w:val="000000"/>
                <w:lang w:eastAsia="pt-BR"/>
              </w:rPr>
              <w:t xml:space="preserve"> P/ INJETÁVEL - FRASCO-AMPOLA</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R$ 47,47</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R$ 47.470,00</w:t>
            </w:r>
            <w:r/>
          </w:p>
        </w:tc>
      </w:tr>
      <w:tr>
        <w:trPr>
          <w:trHeight w:val="5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448844</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3.000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FRASCO- AMPOLA</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CETOPROFENO, 100MG, PÓ </w:t>
            </w:r>
            <w:r>
              <w:rPr>
                <w:rFonts w:ascii="Arial" w:hAnsi="Arial" w:eastAsia="Times New Roman" w:cs="Arial"/>
                <w:color w:val="000000"/>
                <w:lang w:eastAsia="pt-BR"/>
              </w:rPr>
              <w:t xml:space="preserve">LIÓFILO</w:t>
            </w:r>
            <w:r>
              <w:rPr>
                <w:rFonts w:ascii="Arial" w:hAnsi="Arial" w:eastAsia="Times New Roman" w:cs="Arial"/>
                <w:color w:val="000000"/>
                <w:lang w:eastAsia="pt-BR"/>
              </w:rPr>
              <w:t xml:space="preserve"> P/ INJETÁVEL, ENDOVENOSO - FRASCO - AMPOLA</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R$ 6,54</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R$ 19.620,00</w:t>
            </w:r>
            <w:r/>
          </w:p>
        </w:tc>
      </w:tr>
      <w:tr>
        <w:trPr>
          <w:trHeight w:val="5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448845</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5.000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AMPOLA</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CETOPROFENO, 50MG/ML, SOLUÇÃO INJETÁVEL, INTRAMUSCULAR - AMPOLA 2ML  </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R$ 8,40</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R$ 42.000,00</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6</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292419</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1.500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AMPOLA</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CLINDAMICINA 150MG/ML - AMPOLA 4ML</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R$ 12,90</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R$ 19.350,00</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270119</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200.000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COMPRIMIDO</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CLONAZEPAM 2MG - COMPRIMIDO</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R$ 0,23</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R$ 46.000,00</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271000</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10.000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COMPRIMIDO</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DICLOFENACO DE SÓDIO 50MG - COMPRIMIDO</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R$ 0,30</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R$ 3.000,00</w:t>
            </w:r>
            <w:r/>
          </w:p>
        </w:tc>
      </w:tr>
      <w:tr>
        <w:trPr>
          <w:trHeight w:val="5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270999</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3.000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AMPOLA</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DICLOFENACO, SAL SÓDICO, 25MG/ML, SOLUÇÃO INJETÁVEL - AMPOLA 3ML         </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R$ 3,27</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R$ 9.810,00</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455699</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3.000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COMPRIMIDO</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DOXICICLINA</w:t>
            </w:r>
            <w:r>
              <w:rPr>
                <w:rFonts w:ascii="Arial" w:hAnsi="Arial" w:eastAsia="Times New Roman" w:cs="Arial"/>
                <w:color w:val="000000"/>
                <w:lang w:eastAsia="pt-BR"/>
              </w:rPr>
              <w:t xml:space="preserve"> 100MG - COMPRIMIDO</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R$ 1,27</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R$ 3.810,00</w:t>
            </w:r>
            <w:r/>
          </w:p>
        </w:tc>
      </w:tr>
      <w:tr>
        <w:trPr>
          <w:trHeight w:val="5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292399</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500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AMPOLA</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FITOMENADIONA</w:t>
            </w:r>
            <w:r>
              <w:rPr>
                <w:rFonts w:ascii="Arial" w:hAnsi="Arial" w:eastAsia="Times New Roman" w:cs="Arial"/>
                <w:color w:val="000000"/>
                <w:lang w:eastAsia="pt-BR"/>
              </w:rPr>
              <w:t xml:space="preserve">, 10MG/ML, SOLUÇÃO INJETÁVEL - AMPOLA 1ML (IM)</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R$ 2,74</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R$ 1.370,00</w:t>
            </w:r>
            <w:r/>
          </w:p>
        </w:tc>
      </w:tr>
      <w:tr>
        <w:trPr>
          <w:trHeight w:val="5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268256</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AMPOLA</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GENTAMICINA, 40MG/ML, SOLUÇÃO INJETÁVEL - AMPOLA 2ML</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R$ 3,28</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R$ 656,00</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448641</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50.000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COMPRIMIDO</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NIFEDIPINA</w:t>
            </w:r>
            <w:r>
              <w:rPr>
                <w:rFonts w:ascii="Arial" w:hAnsi="Arial" w:eastAsia="Times New Roman" w:cs="Arial"/>
                <w:color w:val="000000"/>
                <w:lang w:eastAsia="pt-BR"/>
              </w:rPr>
              <w:t xml:space="preserve"> 20MG, </w:t>
            </w:r>
            <w:r>
              <w:rPr>
                <w:rFonts w:ascii="Arial" w:hAnsi="Arial" w:eastAsia="Times New Roman" w:cs="Arial"/>
                <w:color w:val="000000"/>
                <w:lang w:eastAsia="pt-BR"/>
              </w:rPr>
              <w:t xml:space="preserve">RETARD</w:t>
            </w:r>
            <w:r>
              <w:rPr>
                <w:rFonts w:ascii="Arial" w:hAnsi="Arial" w:eastAsia="Times New Roman" w:cs="Arial"/>
                <w:color w:val="000000"/>
                <w:lang w:eastAsia="pt-BR"/>
              </w:rPr>
              <w:t xml:space="preserve"> - COMPRIMIDO</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R$ 0,18</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R$ 9.000,00</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273710</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30.000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COMPRIMIDO</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NIMESULIDA</w:t>
            </w:r>
            <w:r>
              <w:rPr>
                <w:rFonts w:ascii="Arial" w:hAnsi="Arial" w:eastAsia="Times New Roman" w:cs="Arial"/>
                <w:color w:val="000000"/>
                <w:lang w:eastAsia="pt-BR"/>
              </w:rPr>
              <w:t xml:space="preserve">, 100MG - COMPRIMIDO</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R$ 0,60</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R$ 18.000,00</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268160</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1.000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FRASCO- AMPOLA</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OMEPRAZOL, 40MG, INJETÁVEL - FRASCO-AMPOLA</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R$ 28,06</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R$ 28.060,00</w:t>
            </w:r>
            <w:r/>
          </w:p>
        </w:tc>
      </w:tr>
      <w:tr>
        <w:trPr>
          <w:trHeight w:val="510"/>
        </w:trPr>
        <w:tc>
          <w:tcPr>
            <w:shd w:val="clear" w:color="auto" w:fill="auto"/>
            <w:tcBorders>
              <w:top w:val="none" w:color="000000" w:sz="4" w:space="0"/>
              <w:left w:val="single" w:color="auto" w:sz="4" w:space="0"/>
              <w:bottom w:val="none" w:color="000000"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16</w:t>
            </w:r>
            <w:r/>
          </w:p>
        </w:tc>
        <w:tc>
          <w:tcPr>
            <w:shd w:val="clear" w:color="auto" w:fill="auto"/>
            <w:tcBorders>
              <w:top w:val="none" w:color="000000" w:sz="4" w:space="0"/>
              <w:left w:val="none" w:color="000000" w:sz="4" w:space="0"/>
              <w:bottom w:val="none" w:color="000000"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279493</w:t>
            </w:r>
            <w:r/>
          </w:p>
        </w:tc>
        <w:tc>
          <w:tcPr>
            <w:shd w:val="clear" w:color="auto" w:fill="auto"/>
            <w:tcBorders>
              <w:top w:val="none" w:color="000000" w:sz="4" w:space="0"/>
              <w:left w:val="none" w:color="000000" w:sz="4" w:space="0"/>
              <w:bottom w:val="none" w:color="000000"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300</w:t>
            </w:r>
            <w:r/>
          </w:p>
        </w:tc>
        <w:tc>
          <w:tcPr>
            <w:shd w:val="clear" w:color="auto" w:fill="auto"/>
            <w:tcBorders>
              <w:top w:val="none" w:color="000000" w:sz="4" w:space="0"/>
              <w:left w:val="none" w:color="000000" w:sz="4" w:space="0"/>
              <w:bottom w:val="none" w:color="000000"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BISNAGA</w:t>
            </w:r>
            <w:r/>
          </w:p>
        </w:tc>
        <w:tc>
          <w:tcPr>
            <w:shd w:val="clear" w:color="auto" w:fill="auto"/>
            <w:tcBorders>
              <w:top w:val="none" w:color="000000" w:sz="4" w:space="0"/>
              <w:left w:val="none" w:color="000000" w:sz="4" w:space="0"/>
              <w:bottom w:val="none" w:color="000000"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ÓXIDO DE ZINCO ASSOCIADO COM VITAMINA A + VITAMINA D, 150MG + 5.000UI + 900UI/G, POMADA - BISNAGA 45G</w:t>
            </w:r>
            <w:r/>
          </w:p>
        </w:tc>
        <w:tc>
          <w:tcPr>
            <w:shd w:val="clear" w:color="auto" w:fill="auto"/>
            <w:tcBorders>
              <w:top w:val="none" w:color="000000" w:sz="4" w:space="0"/>
              <w:left w:val="none" w:color="000000" w:sz="4" w:space="0"/>
              <w:bottom w:val="none" w:color="000000"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R$ 14,80</w:t>
            </w:r>
            <w:r/>
          </w:p>
        </w:tc>
        <w:tc>
          <w:tcPr>
            <w:shd w:val="clear" w:color="auto" w:fill="auto"/>
            <w:tcBorders>
              <w:top w:val="none" w:color="000000" w:sz="4" w:space="0"/>
              <w:left w:val="none" w:color="000000" w:sz="4" w:space="0"/>
              <w:bottom w:val="none" w:color="000000"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R$ 4.440,00</w:t>
            </w: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17</w:t>
            </w:r>
            <w:r/>
          </w:p>
        </w:tc>
        <w:tc>
          <w:tcPr>
            <w:shd w:val="clear" w:color="auto" w:fill="auto"/>
            <w:tcBorders>
              <w:top w:val="single" w:color="auto"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270140</w:t>
            </w:r>
            <w:r/>
          </w:p>
        </w:tc>
        <w:tc>
          <w:tcPr>
            <w:shd w:val="clear" w:color="auto" w:fill="auto"/>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30.000</w:t>
            </w:r>
            <w:r/>
          </w:p>
        </w:tc>
        <w:tc>
          <w:tcPr>
            <w:shd w:val="clear" w:color="auto" w:fill="auto"/>
            <w:tcBorders>
              <w:top w:val="single" w:color="auto"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COMPRIMIDO</w:t>
            </w:r>
            <w:r/>
          </w:p>
        </w:tc>
        <w:tc>
          <w:tcPr>
            <w:shd w:val="clear" w:color="auto" w:fill="auto"/>
            <w:tcBorders>
              <w:top w:val="single" w:color="auto"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BIPERIDENO</w:t>
            </w:r>
            <w:r>
              <w:rPr>
                <w:rFonts w:ascii="Arial" w:hAnsi="Arial" w:eastAsia="Times New Roman" w:cs="Arial"/>
                <w:color w:val="000000"/>
                <w:lang w:eastAsia="pt-BR"/>
              </w:rPr>
              <w:t xml:space="preserve">, CLORIDRATO, 2MG - COMPRIMIDO</w:t>
            </w:r>
            <w:r/>
          </w:p>
        </w:tc>
        <w:tc>
          <w:tcPr>
            <w:shd w:val="clear" w:color="auto" w:fill="auto"/>
            <w:tcBorders>
              <w:top w:val="single" w:color="auto"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R$ 0,25</w:t>
            </w:r>
            <w:r/>
          </w:p>
        </w:tc>
        <w:tc>
          <w:tcPr>
            <w:shd w:val="clear" w:color="auto" w:fill="auto"/>
            <w:tcBorders>
              <w:top w:val="single" w:color="auto"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R$ 7.500,00</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lang w:eastAsia="pt-BR"/>
              </w:rPr>
              <w:t xml:space="preserve">267621</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20.000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COMPRIMIDO</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CARBONATO DE LÍTIO, 300MG - COMPRIMIDO</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R$ 0,45</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R$ 9.000,00</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267635</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10.000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COMPRIMIDO</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CLORPROMAZINA</w:t>
            </w:r>
            <w:r>
              <w:rPr>
                <w:rFonts w:ascii="Arial" w:hAnsi="Arial" w:eastAsia="Times New Roman" w:cs="Arial"/>
                <w:color w:val="000000"/>
                <w:lang w:eastAsia="pt-BR"/>
              </w:rPr>
              <w:t xml:space="preserve">, CLORIDRATO, 25MG - COMPRIMIDO</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R$ 0,25</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R$ 2.500,00</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20</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lang w:eastAsia="pt-BR"/>
              </w:rPr>
              <w:t xml:space="preserve">267195</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100.000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COMPRIMIDO</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DIAZEPAM 5MG - COMPRIMIDO</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R$ 0,17</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R$ 17.000,00</w:t>
            </w:r>
            <w:r/>
          </w:p>
        </w:tc>
      </w:tr>
      <w:tr>
        <w:trPr>
          <w:trHeight w:val="5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21</w:t>
            </w:r>
            <w:r/>
          </w:p>
        </w:tc>
        <w:tc>
          <w:tcPr>
            <w:shd w:val="clear" w:color="auto" w:fill="auto"/>
            <w:tcBorders>
              <w:top w:val="none" w:color="000000" w:sz="4" w:space="0"/>
              <w:left w:val="none" w:color="000000" w:sz="4" w:space="0"/>
              <w:bottom w:val="single" w:color="auto" w:sz="4" w:space="0"/>
              <w:right w:val="single" w:color="auto" w:sz="4" w:space="0"/>
            </w:tcBorders>
            <w:tcW w:w="1135"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lang w:eastAsia="pt-BR"/>
              </w:rPr>
              <w:t xml:space="preserve">300723</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100</w:t>
            </w:r>
            <w:r/>
          </w:p>
        </w:tc>
        <w:tc>
          <w:tcPr>
            <w:shd w:val="clear" w:color="auto" w:fill="auto"/>
            <w:tcBorders>
              <w:top w:val="none" w:color="000000" w:sz="4" w:space="0"/>
              <w:left w:val="none" w:color="000000" w:sz="4" w:space="0"/>
              <w:bottom w:val="single" w:color="auto" w:sz="4" w:space="0"/>
              <w:right w:val="single" w:color="auto" w:sz="4" w:space="0"/>
            </w:tcBorders>
            <w:tcW w:w="155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FRASCO</w:t>
            </w:r>
            <w:r/>
          </w:p>
        </w:tc>
        <w:tc>
          <w:tcPr>
            <w:shd w:val="clear" w:color="auto" w:fill="auto"/>
            <w:tcBorders>
              <w:top w:val="none" w:color="000000" w:sz="4" w:space="0"/>
              <w:left w:val="none" w:color="000000" w:sz="4" w:space="0"/>
              <w:bottom w:val="single" w:color="auto" w:sz="4" w:space="0"/>
              <w:right w:val="single" w:color="auto" w:sz="4" w:space="0"/>
            </w:tcBorders>
            <w:tcW w:w="3402"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FENOBARBITAL SÓDICO 40MG/ML SOLUÇÃO ORAL GOTAS - FRASCO 20ML</w:t>
            </w:r>
            <w:r/>
          </w:p>
        </w:tc>
        <w:tc>
          <w:tcPr>
            <w:shd w:val="clear" w:color="auto" w:fill="auto"/>
            <w:tcBorders>
              <w:top w:val="none" w:color="000000" w:sz="4" w:space="0"/>
              <w:left w:val="none" w:color="000000" w:sz="4" w:space="0"/>
              <w:bottom w:val="single" w:color="auto" w:sz="4" w:space="0"/>
              <w:right w:val="single" w:color="auto" w:sz="4" w:space="0"/>
            </w:tcBorders>
            <w:tcW w:w="1275"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R$ 3,46</w:t>
            </w:r>
            <w:r/>
          </w:p>
        </w:tc>
        <w:tc>
          <w:tcPr>
            <w:shd w:val="clear" w:color="auto" w:fill="auto"/>
            <w:tcBorders>
              <w:top w:val="none" w:color="000000" w:sz="4" w:space="0"/>
              <w:left w:val="none" w:color="000000" w:sz="4" w:space="0"/>
              <w:bottom w:val="single" w:color="auto" w:sz="4" w:space="0"/>
              <w:right w:val="single" w:color="auto" w:sz="4" w:space="0"/>
            </w:tcBorders>
            <w:tcW w:w="1614" w:type="dxa"/>
            <w:vAlign w:val="center"/>
            <w:textDirection w:val="lrTb"/>
            <w:noWrap/>
          </w:tcPr>
          <w:p>
            <w:pPr>
              <w:jc w:val="center"/>
              <w:rPr>
                <w:rFonts w:ascii="Arial" w:hAnsi="Arial" w:eastAsia="Times New Roman" w:cs="Arial"/>
                <w:color w:val="000000"/>
                <w:sz w:val="22"/>
                <w:szCs w:val="22"/>
                <w:lang w:eastAsia="pt-BR"/>
              </w:rPr>
            </w:pPr>
            <w:r>
              <w:rPr>
                <w:rFonts w:ascii="Arial" w:hAnsi="Arial" w:cs="Arial"/>
                <w:color w:val="000000"/>
                <w:sz w:val="22"/>
                <w:szCs w:val="22"/>
              </w:rPr>
              <w:t xml:space="preserve">R$ 346,00</w:t>
            </w:r>
            <w:r/>
          </w:p>
        </w:tc>
      </w:tr>
      <w:tr>
        <w:trPr>
          <w:trHeight w:val="469"/>
        </w:trPr>
        <w:tc>
          <w:tcPr>
            <w:gridSpan w:val="5"/>
            <w:shd w:val="clear" w:color="auto" w:fill="auto"/>
            <w:tcBorders>
              <w:top w:val="single" w:color="auto" w:sz="4" w:space="0"/>
              <w:left w:val="single" w:color="auto" w:sz="4" w:space="0"/>
              <w:bottom w:val="single" w:color="auto" w:sz="4" w:space="0"/>
              <w:right w:val="single" w:color="000000" w:sz="4" w:space="0"/>
            </w:tcBorders>
            <w:tcW w:w="7797" w:type="dxa"/>
            <w:vAlign w:val="center"/>
            <w:textDirection w:val="lrTb"/>
            <w:noWrap w:val="false"/>
          </w:tcPr>
          <w:p>
            <w:pPr>
              <w:jc w:val="right"/>
              <w:rPr>
                <w:rFonts w:ascii="Arial" w:hAnsi="Arial" w:eastAsia="Times New Roman" w:cs="Arial"/>
                <w:color w:val="000000"/>
                <w:sz w:val="22"/>
                <w:szCs w:val="22"/>
                <w:lang w:eastAsia="pt-BR"/>
              </w:rPr>
            </w:pPr>
            <w:r>
              <w:rPr>
                <w:rFonts w:ascii="Arial" w:hAnsi="Arial" w:eastAsia="Times New Roman" w:cs="Arial"/>
                <w:color w:val="000000"/>
                <w:sz w:val="22"/>
                <w:szCs w:val="22"/>
                <w:lang w:eastAsia="pt-BR"/>
              </w:rPr>
              <w:t xml:space="preserve">VALOR TOTAL ESTIMADO</w:t>
            </w:r>
            <w:r/>
          </w:p>
        </w:tc>
        <w:tc>
          <w:tcPr>
            <w:gridSpan w:val="2"/>
            <w:shd w:val="clear" w:color="auto" w:fill="auto"/>
            <w:tcBorders>
              <w:top w:val="single" w:color="auto" w:sz="4" w:space="0"/>
              <w:left w:val="none" w:color="000000" w:sz="4" w:space="0"/>
              <w:bottom w:val="single" w:color="auto" w:sz="4" w:space="0"/>
              <w:right w:val="single" w:color="000000" w:sz="4" w:space="0"/>
            </w:tcBorders>
            <w:tcW w:w="2889" w:type="dxa"/>
            <w:vAlign w:val="center"/>
            <w:textDirection w:val="lrTb"/>
            <w:noWrap/>
          </w:tcPr>
          <w:p>
            <w:pPr>
              <w:jc w:val="center"/>
              <w:rPr>
                <w:rFonts w:ascii="Arial" w:hAnsi="Arial" w:eastAsia="Times New Roman" w:cs="Arial"/>
                <w:color w:val="000000"/>
                <w:sz w:val="22"/>
                <w:szCs w:val="22"/>
              </w:rPr>
            </w:pPr>
            <w:r>
              <w:rPr>
                <w:rFonts w:ascii="Arial" w:hAnsi="Arial" w:cs="Arial"/>
                <w:color w:val="000000"/>
                <w:sz w:val="22"/>
                <w:szCs w:val="22"/>
              </w:rPr>
              <w:t xml:space="preserve">R$ 299.399,00</w:t>
            </w:r>
            <w:r/>
          </w:p>
        </w:tc>
      </w:tr>
    </w:tbl>
    <w:p>
      <w:pPr>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r>
      <w:r/>
    </w:p>
    <w:p>
      <w:pPr>
        <w:pStyle w:val="856"/>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DOS RECURSOS ORÇAMENTÁRIOS:</w:t>
      </w:r>
      <w:r/>
    </w:p>
    <w:p>
      <w:pPr>
        <w:numPr>
          <w:ilvl w:val="1"/>
          <w:numId w:val="28"/>
        </w:numPr>
        <w:ind w:right="49"/>
        <w:jc w:val="both"/>
        <w:spacing w:after="120" w:line="276" w:lineRule="auto"/>
        <w:rPr>
          <w:rFonts w:ascii="Arial" w:hAnsi="Arial" w:cs="Arial"/>
          <w:bCs/>
          <w:sz w:val="24"/>
          <w:szCs w:val="24"/>
        </w:rPr>
      </w:pPr>
      <w:r>
        <w:rPr>
          <w:rFonts w:ascii="Arial" w:hAnsi="Arial" w:eastAsia="Calibri" w:cs="Arial"/>
          <w:sz w:val="24"/>
          <w:szCs w:val="24"/>
        </w:rPr>
        <w:t xml:space="preserve">As despesas decorrentes desta aquisição ocorrerão na seguinte dotação orçamentaria:</w:t>
      </w:r>
      <w:r/>
    </w:p>
    <w:p>
      <w:pPr>
        <w:pStyle w:val="853"/>
        <w:numPr>
          <w:ilvl w:val="2"/>
          <w:numId w:val="28"/>
        </w:numPr>
        <w:ind w:left="1560" w:hanging="709"/>
        <w:jc w:val="both"/>
        <w:spacing w:before="240" w:after="240" w:line="276" w:lineRule="auto"/>
        <w:rPr>
          <w:rFonts w:ascii="Arial" w:hAnsi="Arial" w:cs="Arial"/>
          <w:sz w:val="24"/>
          <w:szCs w:val="24"/>
        </w:rPr>
      </w:pPr>
      <w:r>
        <w:rPr>
          <w:rFonts w:ascii="Arial" w:hAnsi="Arial" w:cs="Arial"/>
          <w:sz w:val="24"/>
          <w:szCs w:val="24"/>
        </w:rPr>
        <w:t xml:space="preserve">Fundo Municipal de </w:t>
      </w:r>
      <w:r>
        <w:rPr>
          <w:rFonts w:ascii="Arial" w:hAnsi="Arial" w:cs="Arial"/>
          <w:sz w:val="24"/>
          <w:szCs w:val="24"/>
        </w:rPr>
        <w:t xml:space="preserve">Saúde</w:t>
      </w:r>
      <w:r>
        <w:rPr>
          <w:rFonts w:ascii="Arial" w:hAnsi="Arial" w:cs="Arial"/>
          <w:sz w:val="24"/>
          <w:szCs w:val="24"/>
        </w:rPr>
        <w:t xml:space="preserve">:</w:t>
      </w:r>
      <w:r/>
    </w:p>
    <w:p>
      <w:pPr>
        <w:pStyle w:val="853"/>
        <w:ind w:left="851"/>
        <w:jc w:val="both"/>
        <w:spacing w:before="240" w:after="240" w:line="276" w:lineRule="auto"/>
        <w:rPr>
          <w:rFonts w:ascii="Arial" w:hAnsi="Arial" w:cs="Arial"/>
          <w:b/>
          <w:bCs/>
          <w:sz w:val="24"/>
          <w:szCs w:val="24"/>
        </w:rPr>
      </w:pPr>
      <w:r>
        <w:rPr>
          <w:rFonts w:ascii="Arial" w:hAnsi="Arial" w:cs="Arial"/>
          <w:b/>
          <w:bCs/>
          <w:sz w:val="24"/>
          <w:szCs w:val="24"/>
        </w:rPr>
        <w:t xml:space="preserve">0</w:t>
      </w:r>
      <w:r>
        <w:rPr>
          <w:rFonts w:ascii="Arial" w:hAnsi="Arial" w:cs="Arial"/>
          <w:b/>
          <w:bCs/>
          <w:sz w:val="24"/>
          <w:szCs w:val="24"/>
        </w:rPr>
        <w:t xml:space="preserve">2</w:t>
      </w:r>
      <w:r>
        <w:rPr>
          <w:rFonts w:ascii="Arial" w:hAnsi="Arial" w:cs="Arial"/>
          <w:b/>
          <w:bCs/>
          <w:sz w:val="24"/>
          <w:szCs w:val="24"/>
        </w:rPr>
        <w:t xml:space="preserve">.0</w:t>
      </w:r>
      <w:r>
        <w:rPr>
          <w:rFonts w:ascii="Arial" w:hAnsi="Arial" w:cs="Arial"/>
          <w:b/>
          <w:bCs/>
          <w:sz w:val="24"/>
          <w:szCs w:val="24"/>
        </w:rPr>
        <w:t xml:space="preserve">12</w:t>
      </w:r>
      <w:r>
        <w:rPr>
          <w:rFonts w:ascii="Arial" w:hAnsi="Arial" w:cs="Arial"/>
          <w:b/>
          <w:bCs/>
          <w:sz w:val="24"/>
          <w:szCs w:val="24"/>
        </w:rPr>
        <w:t xml:space="preserve">.</w:t>
      </w:r>
      <w:r>
        <w:rPr>
          <w:rFonts w:ascii="Arial" w:hAnsi="Arial" w:cs="Arial"/>
          <w:b/>
          <w:bCs/>
          <w:sz w:val="24"/>
          <w:szCs w:val="24"/>
        </w:rPr>
        <w:t xml:space="preserve">10</w:t>
      </w:r>
      <w:r>
        <w:rPr>
          <w:rFonts w:ascii="Arial" w:hAnsi="Arial" w:cs="Arial"/>
          <w:b/>
          <w:bCs/>
          <w:sz w:val="24"/>
          <w:szCs w:val="24"/>
        </w:rPr>
        <w:t xml:space="preserve">.</w:t>
      </w:r>
      <w:r>
        <w:rPr>
          <w:rFonts w:ascii="Arial" w:hAnsi="Arial" w:cs="Arial"/>
          <w:b/>
          <w:bCs/>
          <w:sz w:val="24"/>
          <w:szCs w:val="24"/>
        </w:rPr>
        <w:t xml:space="preserve">303</w:t>
      </w:r>
      <w:r>
        <w:rPr>
          <w:rFonts w:ascii="Arial" w:hAnsi="Arial" w:cs="Arial"/>
          <w:b/>
          <w:bCs/>
          <w:sz w:val="24"/>
          <w:szCs w:val="24"/>
        </w:rPr>
        <w:t xml:space="preserve">.00</w:t>
      </w:r>
      <w:r>
        <w:rPr>
          <w:rFonts w:ascii="Arial" w:hAnsi="Arial" w:cs="Arial"/>
          <w:b/>
          <w:bCs/>
          <w:sz w:val="24"/>
          <w:szCs w:val="24"/>
        </w:rPr>
        <w:t xml:space="preserve">91</w:t>
      </w:r>
      <w:r>
        <w:rPr>
          <w:rFonts w:ascii="Arial" w:hAnsi="Arial" w:cs="Arial"/>
          <w:b/>
          <w:bCs/>
          <w:sz w:val="24"/>
          <w:szCs w:val="24"/>
        </w:rPr>
        <w:t xml:space="preserve">.</w:t>
      </w:r>
      <w:r>
        <w:rPr>
          <w:rFonts w:ascii="Arial" w:hAnsi="Arial" w:cs="Arial"/>
          <w:b/>
          <w:bCs/>
          <w:sz w:val="24"/>
          <w:szCs w:val="24"/>
        </w:rPr>
        <w:t xml:space="preserve">3058</w:t>
      </w:r>
      <w:r>
        <w:rPr>
          <w:rFonts w:ascii="Arial" w:hAnsi="Arial" w:cs="Arial"/>
          <w:b/>
          <w:bCs/>
          <w:sz w:val="24"/>
          <w:szCs w:val="24"/>
        </w:rPr>
        <w:t xml:space="preserve">   </w:t>
      </w:r>
      <w:r>
        <w:rPr>
          <w:rFonts w:ascii="Arial" w:hAnsi="Arial" w:cs="Arial"/>
          <w:b/>
          <w:bCs/>
          <w:sz w:val="24"/>
          <w:szCs w:val="24"/>
        </w:rPr>
        <w:t xml:space="preserve">3</w:t>
      </w:r>
      <w:r>
        <w:rPr>
          <w:rFonts w:ascii="Arial" w:hAnsi="Arial" w:cs="Arial"/>
          <w:b/>
          <w:bCs/>
          <w:sz w:val="24"/>
          <w:szCs w:val="24"/>
        </w:rPr>
        <w:t xml:space="preserve">.</w:t>
      </w:r>
      <w:r>
        <w:rPr>
          <w:rFonts w:ascii="Arial" w:hAnsi="Arial" w:cs="Arial"/>
          <w:b/>
          <w:bCs/>
          <w:sz w:val="24"/>
          <w:szCs w:val="24"/>
        </w:rPr>
        <w:t xml:space="preserve">3</w:t>
      </w:r>
      <w:r>
        <w:rPr>
          <w:rFonts w:ascii="Arial" w:hAnsi="Arial" w:cs="Arial"/>
          <w:b/>
          <w:bCs/>
          <w:sz w:val="24"/>
          <w:szCs w:val="24"/>
        </w:rPr>
        <w:t xml:space="preserve">.90.</w:t>
      </w:r>
      <w:r>
        <w:rPr>
          <w:rFonts w:ascii="Arial" w:hAnsi="Arial" w:cs="Arial"/>
          <w:b/>
          <w:bCs/>
          <w:sz w:val="24"/>
          <w:szCs w:val="24"/>
        </w:rPr>
        <w:t xml:space="preserve">30</w:t>
      </w:r>
      <w:r>
        <w:rPr>
          <w:rFonts w:ascii="Arial" w:hAnsi="Arial" w:cs="Arial"/>
          <w:b/>
          <w:bCs/>
          <w:sz w:val="24"/>
          <w:szCs w:val="24"/>
        </w:rPr>
        <w:t xml:space="preserve">.00.00   Fonte: </w:t>
      </w:r>
      <w:r>
        <w:rPr>
          <w:rFonts w:ascii="Arial" w:hAnsi="Arial" w:cs="Arial"/>
          <w:b/>
          <w:bCs/>
          <w:sz w:val="24"/>
          <w:szCs w:val="24"/>
        </w:rPr>
        <w:t xml:space="preserve">100</w:t>
      </w:r>
      <w:r>
        <w:rPr>
          <w:rFonts w:ascii="Arial" w:hAnsi="Arial" w:cs="Arial"/>
          <w:b/>
          <w:bCs/>
          <w:sz w:val="24"/>
          <w:szCs w:val="24"/>
        </w:rPr>
        <w:t xml:space="preserve">    Conta: </w:t>
      </w:r>
      <w:r>
        <w:rPr>
          <w:rFonts w:ascii="Arial" w:hAnsi="Arial" w:cs="Arial"/>
          <w:b/>
          <w:bCs/>
          <w:sz w:val="24"/>
          <w:szCs w:val="24"/>
        </w:rPr>
        <w:t xml:space="preserve">263</w:t>
      </w:r>
      <w:r/>
    </w:p>
    <w:p>
      <w:pPr>
        <w:pStyle w:val="853"/>
        <w:ind w:left="851"/>
        <w:jc w:val="both"/>
        <w:spacing w:before="240" w:after="240" w:line="276" w:lineRule="auto"/>
        <w:rPr>
          <w:rFonts w:ascii="Arial" w:hAnsi="Arial" w:cs="Arial"/>
          <w:b/>
          <w:bCs/>
          <w:sz w:val="24"/>
          <w:szCs w:val="24"/>
        </w:rPr>
      </w:pPr>
      <w:r>
        <w:rPr>
          <w:rFonts w:ascii="Arial" w:hAnsi="Arial" w:cs="Arial"/>
          <w:b/>
          <w:bCs/>
          <w:sz w:val="24"/>
          <w:szCs w:val="24"/>
        </w:rPr>
        <w:t xml:space="preserve">0</w:t>
      </w:r>
      <w:r>
        <w:rPr>
          <w:rFonts w:ascii="Arial" w:hAnsi="Arial" w:cs="Arial"/>
          <w:b/>
          <w:bCs/>
          <w:sz w:val="24"/>
          <w:szCs w:val="24"/>
        </w:rPr>
        <w:t xml:space="preserve">2</w:t>
      </w:r>
      <w:r>
        <w:rPr>
          <w:rFonts w:ascii="Arial" w:hAnsi="Arial" w:cs="Arial"/>
          <w:b/>
          <w:bCs/>
          <w:sz w:val="24"/>
          <w:szCs w:val="24"/>
        </w:rPr>
        <w:t xml:space="preserve">.0</w:t>
      </w:r>
      <w:r>
        <w:rPr>
          <w:rFonts w:ascii="Arial" w:hAnsi="Arial" w:cs="Arial"/>
          <w:b/>
          <w:bCs/>
          <w:sz w:val="24"/>
          <w:szCs w:val="24"/>
        </w:rPr>
        <w:t xml:space="preserve">12</w:t>
      </w:r>
      <w:r>
        <w:rPr>
          <w:rFonts w:ascii="Arial" w:hAnsi="Arial" w:cs="Arial"/>
          <w:b/>
          <w:bCs/>
          <w:sz w:val="24"/>
          <w:szCs w:val="24"/>
        </w:rPr>
        <w:t xml:space="preserve">.</w:t>
      </w:r>
      <w:r>
        <w:rPr>
          <w:rFonts w:ascii="Arial" w:hAnsi="Arial" w:cs="Arial"/>
          <w:b/>
          <w:bCs/>
          <w:sz w:val="24"/>
          <w:szCs w:val="24"/>
        </w:rPr>
        <w:t xml:space="preserve">10</w:t>
      </w:r>
      <w:r>
        <w:rPr>
          <w:rFonts w:ascii="Arial" w:hAnsi="Arial" w:cs="Arial"/>
          <w:b/>
          <w:bCs/>
          <w:sz w:val="24"/>
          <w:szCs w:val="24"/>
        </w:rPr>
        <w:t xml:space="preserve">.</w:t>
      </w:r>
      <w:r>
        <w:rPr>
          <w:rFonts w:ascii="Arial" w:hAnsi="Arial" w:cs="Arial"/>
          <w:b/>
          <w:bCs/>
          <w:sz w:val="24"/>
          <w:szCs w:val="24"/>
        </w:rPr>
        <w:t xml:space="preserve">122</w:t>
      </w:r>
      <w:r>
        <w:rPr>
          <w:rFonts w:ascii="Arial" w:hAnsi="Arial" w:cs="Arial"/>
          <w:b/>
          <w:bCs/>
          <w:sz w:val="24"/>
          <w:szCs w:val="24"/>
        </w:rPr>
        <w:t xml:space="preserve">.00</w:t>
      </w:r>
      <w:r>
        <w:rPr>
          <w:rFonts w:ascii="Arial" w:hAnsi="Arial" w:cs="Arial"/>
          <w:b/>
          <w:bCs/>
          <w:sz w:val="24"/>
          <w:szCs w:val="24"/>
        </w:rPr>
        <w:t xml:space="preserve">93</w:t>
      </w:r>
      <w:r>
        <w:rPr>
          <w:rFonts w:ascii="Arial" w:hAnsi="Arial" w:cs="Arial"/>
          <w:b/>
          <w:bCs/>
          <w:sz w:val="24"/>
          <w:szCs w:val="24"/>
        </w:rPr>
        <w:t xml:space="preserve">.2</w:t>
      </w:r>
      <w:r>
        <w:rPr>
          <w:rFonts w:ascii="Arial" w:hAnsi="Arial" w:cs="Arial"/>
          <w:b/>
          <w:bCs/>
          <w:sz w:val="24"/>
          <w:szCs w:val="24"/>
        </w:rPr>
        <w:t xml:space="preserve">269</w:t>
      </w:r>
      <w:r>
        <w:rPr>
          <w:rFonts w:ascii="Arial" w:hAnsi="Arial" w:cs="Arial"/>
          <w:b/>
          <w:bCs/>
          <w:sz w:val="24"/>
          <w:szCs w:val="24"/>
        </w:rPr>
        <w:t xml:space="preserve">   </w:t>
      </w:r>
      <w:r>
        <w:rPr>
          <w:rFonts w:ascii="Arial" w:hAnsi="Arial" w:cs="Arial"/>
          <w:b/>
          <w:bCs/>
          <w:sz w:val="24"/>
          <w:szCs w:val="24"/>
        </w:rPr>
        <w:t xml:space="preserve">3</w:t>
      </w:r>
      <w:r>
        <w:rPr>
          <w:rFonts w:ascii="Arial" w:hAnsi="Arial" w:cs="Arial"/>
          <w:b/>
          <w:bCs/>
          <w:sz w:val="24"/>
          <w:szCs w:val="24"/>
        </w:rPr>
        <w:t xml:space="preserve">.</w:t>
      </w:r>
      <w:r>
        <w:rPr>
          <w:rFonts w:ascii="Arial" w:hAnsi="Arial" w:cs="Arial"/>
          <w:b/>
          <w:bCs/>
          <w:sz w:val="24"/>
          <w:szCs w:val="24"/>
        </w:rPr>
        <w:t xml:space="preserve">3</w:t>
      </w:r>
      <w:r>
        <w:rPr>
          <w:rFonts w:ascii="Arial" w:hAnsi="Arial" w:cs="Arial"/>
          <w:b/>
          <w:bCs/>
          <w:sz w:val="24"/>
          <w:szCs w:val="24"/>
        </w:rPr>
        <w:t xml:space="preserve">.90.</w:t>
      </w:r>
      <w:r>
        <w:rPr>
          <w:rFonts w:ascii="Arial" w:hAnsi="Arial" w:cs="Arial"/>
          <w:b/>
          <w:bCs/>
          <w:sz w:val="24"/>
          <w:szCs w:val="24"/>
        </w:rPr>
        <w:t xml:space="preserve">30</w:t>
      </w:r>
      <w:r>
        <w:rPr>
          <w:rFonts w:ascii="Arial" w:hAnsi="Arial" w:cs="Arial"/>
          <w:b/>
          <w:bCs/>
          <w:sz w:val="24"/>
          <w:szCs w:val="24"/>
        </w:rPr>
        <w:t xml:space="preserve">.00.00   Fonte: </w:t>
      </w:r>
      <w:r>
        <w:rPr>
          <w:rFonts w:ascii="Arial" w:hAnsi="Arial" w:cs="Arial"/>
          <w:b/>
          <w:bCs/>
          <w:sz w:val="24"/>
          <w:szCs w:val="24"/>
        </w:rPr>
        <w:t xml:space="preserve">360</w:t>
      </w:r>
      <w:r>
        <w:rPr>
          <w:rFonts w:ascii="Arial" w:hAnsi="Arial" w:cs="Arial"/>
          <w:b/>
          <w:bCs/>
          <w:sz w:val="24"/>
          <w:szCs w:val="24"/>
        </w:rPr>
        <w:t xml:space="preserve">    Conta: </w:t>
      </w:r>
      <w:r>
        <w:rPr>
          <w:rFonts w:ascii="Arial" w:hAnsi="Arial" w:cs="Arial"/>
          <w:b/>
          <w:bCs/>
          <w:sz w:val="24"/>
          <w:szCs w:val="24"/>
        </w:rPr>
        <w:t xml:space="preserve">88</w:t>
      </w:r>
      <w:r/>
    </w:p>
    <w:p>
      <w:pPr>
        <w:pStyle w:val="856"/>
        <w:numPr>
          <w:ilvl w:val="0"/>
          <w:numId w:val="28"/>
        </w:numPr>
        <w:contextualSpacing w:val="0"/>
        <w:ind w:right="49"/>
        <w:jc w:val="both"/>
        <w:spacing w:after="240" w:line="276" w:lineRule="auto"/>
        <w:widowControl w:val="off"/>
        <w:tabs>
          <w:tab w:val="left" w:pos="284" w:leader="none"/>
        </w:tabs>
        <w:rPr>
          <w:rFonts w:ascii="Arial" w:hAnsi="Arial" w:eastAsia="Times New Roman"/>
          <w:sz w:val="24"/>
          <w:szCs w:val="24"/>
        </w:rPr>
      </w:pPr>
      <w:r>
        <w:rPr>
          <w:rFonts w:ascii="Arial" w:hAnsi="Arial" w:cs="Arial"/>
          <w:b/>
          <w:bCs/>
          <w:sz w:val="24"/>
          <w:szCs w:val="24"/>
        </w:rPr>
        <w:t xml:space="preserve">QUALIFICAÇÃO TÉCNICA:</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856"/>
        <w:numPr>
          <w:ilvl w:val="0"/>
          <w:numId w:val="28"/>
        </w:numPr>
        <w:contextualSpacing w:val="0"/>
        <w:ind w:right="49"/>
        <w:jc w:val="both"/>
        <w:spacing w:after="240" w:line="276" w:lineRule="auto"/>
        <w:widowControl w:val="off"/>
        <w:tabs>
          <w:tab w:val="left" w:pos="284" w:leader="none"/>
        </w:tabs>
        <w:rPr>
          <w:rFonts w:ascii="Arial" w:hAnsi="Arial" w:cs="Arial"/>
          <w:bCs/>
          <w:sz w:val="24"/>
          <w:szCs w:val="24"/>
        </w:rPr>
      </w:pPr>
      <w:r>
        <w:rPr>
          <w:rFonts w:ascii="Arial" w:hAnsi="Arial" w:eastAsia="Arial Unicode MS" w:cs="Arial"/>
          <w:b/>
          <w:bCs/>
          <w:sz w:val="24"/>
          <w:szCs w:val="24"/>
        </w:rPr>
        <w:t xml:space="preserve">CRITÉRIOS DE ACEITABILIDADE E JULGAMENTO:</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t xml:space="preserve"> Conforme especificações do edital.</w:t>
      </w:r>
      <w:r/>
    </w:p>
    <w:p>
      <w:pPr>
        <w:pStyle w:val="856"/>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DAS AMOSTRAS:</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856"/>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PRAZO DE EXECUÇÃO:</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856"/>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FISCALIZAÇÃO:</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856"/>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PAGAMENTO:</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856"/>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OBRIGAÇÕES DA CONTRATADA:</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993" w:right="49"/>
        <w:jc w:val="both"/>
        <w:spacing w:after="120" w:line="276" w:lineRule="auto"/>
        <w:rPr>
          <w:rFonts w:ascii="Arial" w:hAnsi="Arial" w:cs="Arial"/>
          <w:bCs/>
          <w:sz w:val="24"/>
          <w:szCs w:val="24"/>
        </w:rPr>
      </w:pPr>
      <w:r>
        <w:rPr>
          <w:rFonts w:ascii="Arial" w:hAnsi="Arial" w:cs="Arial"/>
          <w:bCs/>
          <w:sz w:val="24"/>
          <w:szCs w:val="24"/>
        </w:rPr>
      </w:r>
      <w:r/>
    </w:p>
    <w:p>
      <w:pPr>
        <w:pStyle w:val="856"/>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OBRIGAÇÕES DA CONTRATANTE:</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856"/>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SANSÕES ADMINISTRATIVAS:</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856"/>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DISPOSIÇÕES GERAIS:</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853"/>
        <w:jc w:val="center"/>
        <w:spacing w:line="276" w:lineRule="auto"/>
        <w:rPr>
          <w:rFonts w:ascii="Arial" w:hAnsi="Arial" w:cs="Arial"/>
          <w:b/>
          <w:sz w:val="24"/>
          <w:szCs w:val="24"/>
        </w:rPr>
      </w:pPr>
      <w:r>
        <w:rPr>
          <w:rFonts w:ascii="Arial" w:hAnsi="Arial" w:cs="Arial"/>
          <w:b/>
          <w:sz w:val="24"/>
          <w:szCs w:val="24"/>
        </w:rPr>
      </w:r>
      <w:r/>
    </w:p>
    <w:p>
      <w:pPr>
        <w:pStyle w:val="853"/>
        <w:jc w:val="center"/>
        <w:spacing w:line="276" w:lineRule="auto"/>
        <w:rPr>
          <w:rFonts w:ascii="Arial" w:hAnsi="Arial" w:cs="Arial"/>
          <w:b/>
          <w:sz w:val="24"/>
          <w:szCs w:val="24"/>
        </w:rPr>
      </w:pPr>
      <w:r>
        <w:rPr>
          <w:rFonts w:ascii="Arial" w:hAnsi="Arial" w:cs="Arial"/>
          <w:b/>
          <w:sz w:val="24"/>
          <w:szCs w:val="24"/>
        </w:rPr>
      </w:r>
      <w:r/>
    </w:p>
    <w:p>
      <w:pPr>
        <w:jc w:val="center"/>
        <w:rPr>
          <w:rFonts w:ascii="Arial" w:hAnsi="Arial" w:eastAsia="Arial" w:cs="Arial"/>
          <w:b/>
          <w:sz w:val="24"/>
          <w:szCs w:val="24"/>
        </w:rPr>
      </w:pPr>
      <w:r>
        <w:rPr>
          <w:rFonts w:ascii="Arial" w:hAnsi="Arial" w:eastAsia="Arial" w:cs="Arial"/>
          <w:b/>
          <w:sz w:val="24"/>
          <w:szCs w:val="24"/>
        </w:rPr>
        <w:t xml:space="preserve">Clarissa </w:t>
      </w:r>
      <w:r>
        <w:rPr>
          <w:rFonts w:ascii="Arial" w:hAnsi="Arial" w:eastAsia="Arial" w:cs="Arial"/>
          <w:b/>
          <w:sz w:val="24"/>
          <w:szCs w:val="24"/>
        </w:rPr>
        <w:t xml:space="preserve">Rippel</w:t>
      </w:r>
      <w:r>
        <w:rPr>
          <w:rFonts w:ascii="Arial" w:hAnsi="Arial" w:eastAsia="Arial" w:cs="Arial"/>
          <w:b/>
          <w:sz w:val="24"/>
          <w:szCs w:val="24"/>
        </w:rPr>
        <w:t xml:space="preserve"> </w:t>
      </w:r>
      <w:r>
        <w:rPr>
          <w:rFonts w:ascii="Arial" w:hAnsi="Arial" w:eastAsia="Arial" w:cs="Arial"/>
          <w:b/>
          <w:sz w:val="24"/>
          <w:szCs w:val="24"/>
        </w:rPr>
        <w:t xml:space="preserve">Bolson</w:t>
      </w:r>
      <w:r>
        <w:rPr>
          <w:rFonts w:ascii="Arial" w:hAnsi="Arial" w:eastAsia="Arial" w:cs="Arial"/>
          <w:b/>
          <w:sz w:val="24"/>
          <w:szCs w:val="24"/>
        </w:rPr>
        <w:t xml:space="preserve"> Guita</w:t>
      </w:r>
      <w:r/>
    </w:p>
    <w:p>
      <w:pPr>
        <w:jc w:val="center"/>
        <w:rPr>
          <w:rFonts w:ascii="Arial" w:hAnsi="Arial" w:eastAsia="Arial" w:cs="Arial"/>
          <w:b/>
          <w:sz w:val="24"/>
          <w:szCs w:val="24"/>
        </w:rPr>
      </w:pPr>
      <w:r>
        <w:rPr>
          <w:rFonts w:ascii="Arial" w:hAnsi="Arial" w:eastAsia="Arial" w:cs="Arial"/>
          <w:b/>
          <w:sz w:val="24"/>
          <w:szCs w:val="24"/>
        </w:rPr>
        <w:t xml:space="preserve">Secretária Municipal de Saúde</w:t>
      </w:r>
      <w:r/>
    </w:p>
    <w:p>
      <w:pPr>
        <w:jc w:val="center"/>
        <w:rPr>
          <w:rFonts w:ascii="Arial" w:hAnsi="Arial" w:eastAsia="Arial" w:cs="Arial"/>
          <w:b/>
          <w:sz w:val="24"/>
          <w:szCs w:val="24"/>
        </w:rPr>
      </w:pPr>
      <w:r>
        <w:rPr>
          <w:rFonts w:ascii="Arial" w:hAnsi="Arial" w:eastAsia="Arial" w:cs="Arial"/>
          <w:b/>
          <w:sz w:val="24"/>
          <w:szCs w:val="24"/>
        </w:rPr>
        <w:t xml:space="preserve">Mat. 4.19950-6</w:t>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pStyle w:val="850"/>
        <w:jc w:val="center"/>
        <w:spacing w:before="57" w:after="57" w:line="276" w:lineRule="auto"/>
        <w:tabs>
          <w:tab w:val="right" w:pos="8080" w:leader="none"/>
        </w:tabs>
        <w:rPr>
          <w:rFonts w:ascii="Arial" w:hAnsi="Arial" w:eastAsia="Arial"/>
          <w:b/>
          <w:sz w:val="24"/>
          <w:szCs w:val="24"/>
          <w:u w:val="single"/>
        </w:rPr>
      </w:pPr>
      <w:r>
        <w:rPr>
          <w:rFonts w:ascii="Arial" w:hAnsi="Arial" w:eastAsia="Arial"/>
          <w:b/>
          <w:sz w:val="24"/>
          <w:szCs w:val="24"/>
          <w:u w:val="single"/>
        </w:rPr>
        <w:t xml:space="preserve">ANEXO II:</w:t>
      </w:r>
      <w:r/>
    </w:p>
    <w:p>
      <w:pPr>
        <w:pStyle w:val="853"/>
        <w:spacing w:line="276" w:lineRule="auto"/>
        <w:rPr>
          <w:rFonts w:ascii="Arial" w:hAnsi="Arial" w:eastAsia="Arial" w:cs="Arial"/>
          <w:b/>
          <w:sz w:val="24"/>
          <w:szCs w:val="24"/>
          <w:u w:val="single"/>
        </w:rPr>
      </w:pPr>
      <w:r>
        <w:rPr>
          <w:rFonts w:ascii="Arial" w:hAnsi="Arial" w:eastAsia="Arial" w:cs="Arial"/>
          <w:b/>
          <w:sz w:val="24"/>
          <w:szCs w:val="24"/>
          <w:u w:val="single"/>
        </w:rPr>
      </w:r>
      <w:r/>
    </w:p>
    <w:p>
      <w:pPr>
        <w:pStyle w:val="853"/>
        <w:jc w:val="center"/>
        <w:spacing w:line="276" w:lineRule="auto"/>
        <w:rPr>
          <w:rFonts w:ascii="Arial" w:hAnsi="Arial" w:eastAsia="Arial" w:cs="Arial"/>
          <w:sz w:val="24"/>
          <w:szCs w:val="24"/>
        </w:rPr>
      </w:pPr>
      <w:r>
        <w:rPr>
          <w:rFonts w:ascii="Arial" w:hAnsi="Arial" w:eastAsia="Arial" w:cs="Arial"/>
          <w:b/>
          <w:sz w:val="24"/>
          <w:szCs w:val="24"/>
        </w:rPr>
        <w:t xml:space="preserve">MODELO PADRÃO DE PROPOSTA COMERCIAL</w:t>
      </w:r>
      <w:r/>
    </w:p>
    <w:p>
      <w:pPr>
        <w:pStyle w:val="853"/>
        <w:ind w:left="-709" w:right="-284"/>
        <w:jc w:val="both"/>
        <w:spacing w:before="120" w:after="120" w:line="276" w:lineRule="auto"/>
        <w:rPr>
          <w:rFonts w:ascii="Arial" w:hAnsi="Arial" w:eastAsia="Arial" w:cs="Arial"/>
          <w:sz w:val="24"/>
          <w:szCs w:val="24"/>
        </w:rPr>
      </w:pPr>
      <w:r>
        <w:rPr>
          <w:rFonts w:ascii="Arial" w:hAnsi="Arial" w:eastAsia="Arial" w:cs="Arial"/>
          <w:sz w:val="24"/>
          <w:szCs w:val="24"/>
        </w:rPr>
        <w:t xml:space="preserve">Pelo presente instrumento, a empresa ____________________________________, portadora do CNPJ </w:t>
      </w:r>
      <w:r>
        <w:rPr>
          <w:rFonts w:ascii="Arial" w:hAnsi="Arial" w:eastAsia="Arial" w:cs="Arial"/>
          <w:sz w:val="24"/>
          <w:szCs w:val="24"/>
        </w:rPr>
        <w:t xml:space="preserve">XX.XXX.XXX</w:t>
      </w:r>
      <w:r>
        <w:rPr>
          <w:rFonts w:ascii="Arial" w:hAnsi="Arial" w:eastAsia="Arial" w:cs="Arial"/>
          <w:sz w:val="24"/>
          <w:szCs w:val="24"/>
        </w:rPr>
        <w:t xml:space="preserve">/</w:t>
      </w:r>
      <w:r>
        <w:rPr>
          <w:rFonts w:ascii="Arial" w:hAnsi="Arial" w:eastAsia="Arial" w:cs="Arial"/>
          <w:sz w:val="24"/>
          <w:szCs w:val="24"/>
        </w:rPr>
        <w:t xml:space="preserve">XXXX</w:t>
      </w:r>
      <w:r>
        <w:rPr>
          <w:rFonts w:ascii="Arial" w:hAnsi="Arial" w:eastAsia="Arial" w:cs="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eastAsia="Arial" w:cs="Arial"/>
          <w:sz w:val="24"/>
          <w:szCs w:val="24"/>
        </w:rPr>
        <w:t xml:space="preserve">XXXXXXXXXX</w:t>
      </w:r>
      <w:r>
        <w:rPr>
          <w:rFonts w:ascii="Arial" w:hAnsi="Arial" w:eastAsia="Arial" w:cs="Arial"/>
          <w:sz w:val="24"/>
          <w:szCs w:val="24"/>
        </w:rPr>
        <w:t xml:space="preserve">, expedida pela </w:t>
      </w:r>
      <w:r>
        <w:rPr>
          <w:rFonts w:ascii="Arial" w:hAnsi="Arial" w:eastAsia="Arial" w:cs="Arial"/>
          <w:sz w:val="24"/>
          <w:szCs w:val="24"/>
        </w:rPr>
        <w:t xml:space="preserve">XXXXX</w:t>
      </w:r>
      <w:r>
        <w:rPr>
          <w:rFonts w:ascii="Arial" w:hAnsi="Arial" w:eastAsia="Arial" w:cs="Arial"/>
          <w:sz w:val="24"/>
          <w:szCs w:val="24"/>
        </w:rPr>
        <w:t xml:space="preserve">/XX, inscrito no </w:t>
      </w:r>
      <w:r>
        <w:rPr>
          <w:rFonts w:ascii="Arial" w:hAnsi="Arial" w:eastAsia="Arial" w:cs="Arial"/>
          <w:sz w:val="24"/>
          <w:szCs w:val="24"/>
        </w:rPr>
        <w:t xml:space="preserve">C.P.F</w:t>
      </w:r>
      <w:r>
        <w:rPr>
          <w:rFonts w:ascii="Arial" w:hAnsi="Arial" w:eastAsia="Arial" w:cs="Arial"/>
          <w:sz w:val="24"/>
          <w:szCs w:val="24"/>
        </w:rPr>
        <w:t xml:space="preserve">. sob o nº </w:t>
      </w:r>
      <w:r>
        <w:rPr>
          <w:rFonts w:ascii="Arial" w:hAnsi="Arial" w:eastAsia="Arial" w:cs="Arial"/>
          <w:sz w:val="24"/>
          <w:szCs w:val="24"/>
        </w:rPr>
        <w:t xml:space="preserve">XXX.XXX.XXX</w:t>
      </w:r>
      <w:r>
        <w:rPr>
          <w:rFonts w:ascii="Arial" w:hAnsi="Arial" w:eastAsia="Arial" w:cs="Arial"/>
          <w:sz w:val="24"/>
          <w:szCs w:val="24"/>
        </w:rPr>
        <w:t xml:space="preserve">-XX, residente e domiciliado a _______________________________________ em estrito cumprimento ao previsto n</w:t>
      </w:r>
      <w:r>
        <w:rPr>
          <w:rFonts w:ascii="Arial" w:hAnsi="Arial" w:eastAsia="Arial" w:cs="Arial"/>
          <w:sz w:val="24"/>
          <w:szCs w:val="24"/>
        </w:rPr>
        <w:t xml:space="preserve">o</w:t>
      </w:r>
      <w:r>
        <w:rPr>
          <w:rFonts w:ascii="Arial" w:hAnsi="Arial" w:eastAsia="Arial" w:cs="Arial"/>
          <w:sz w:val="24"/>
          <w:szCs w:val="24"/>
        </w:rPr>
        <w:t xml:space="preserve">s</w:t>
      </w:r>
      <w:r>
        <w:rPr>
          <w:rFonts w:ascii="Arial" w:hAnsi="Arial" w:eastAsia="Arial" w:cs="Arial"/>
          <w:sz w:val="24"/>
          <w:szCs w:val="24"/>
        </w:rPr>
        <w:t xml:space="preserve"> processo</w:t>
      </w:r>
      <w:r>
        <w:rPr>
          <w:rFonts w:ascii="Arial" w:hAnsi="Arial" w:eastAsia="Arial" w:cs="Arial"/>
          <w:sz w:val="24"/>
          <w:szCs w:val="24"/>
        </w:rPr>
        <w:t xml:space="preserve">s</w:t>
      </w:r>
      <w:r>
        <w:rPr>
          <w:rFonts w:ascii="Arial" w:hAnsi="Arial" w:eastAsia="Arial" w:cs="Arial"/>
          <w:sz w:val="24"/>
          <w:szCs w:val="24"/>
        </w:rPr>
        <w:t xml:space="preserve"> administrativo</w:t>
      </w:r>
      <w:r>
        <w:rPr>
          <w:rFonts w:ascii="Arial" w:hAnsi="Arial" w:eastAsia="Arial" w:cs="Arial"/>
          <w:sz w:val="24"/>
          <w:szCs w:val="24"/>
        </w:rPr>
        <w:t xml:space="preserve">s</w:t>
      </w:r>
      <w:r>
        <w:rPr>
          <w:rFonts w:ascii="Arial" w:hAnsi="Arial" w:eastAsia="Arial" w:cs="Arial"/>
          <w:sz w:val="24"/>
          <w:szCs w:val="24"/>
        </w:rPr>
        <w:t xml:space="preserve"> nº </w:t>
      </w:r>
      <w:r>
        <w:rPr>
          <w:rFonts w:ascii="Arial" w:hAnsi="Arial" w:cs="Arial"/>
          <w:sz w:val="24"/>
          <w:szCs w:val="24"/>
        </w:rPr>
        <w:t xml:space="preserve">7.680/2022 e 7.683/2022</w:t>
      </w:r>
      <w:r>
        <w:rPr>
          <w:rFonts w:ascii="Arial" w:hAnsi="Arial" w:cs="Arial"/>
          <w:sz w:val="24"/>
          <w:szCs w:val="24"/>
        </w:rPr>
        <w:t xml:space="preserve"> </w:t>
      </w:r>
      <w:r>
        <w:rPr>
          <w:rFonts w:ascii="Arial" w:hAnsi="Arial" w:eastAsia="Arial" w:cs="Arial"/>
          <w:sz w:val="24"/>
          <w:szCs w:val="24"/>
        </w:rPr>
        <w:t xml:space="preserve">e processo licitatório Pregão Eletrônico nº 091</w:t>
      </w:r>
      <w:r>
        <w:rPr>
          <w:rFonts w:ascii="Arial" w:hAnsi="Arial" w:eastAsia="Arial" w:cs="Arial"/>
          <w:sz w:val="24"/>
          <w:szCs w:val="24"/>
        </w:rPr>
        <w:t xml:space="preserve">/2022</w:t>
      </w:r>
      <w:r>
        <w:rPr>
          <w:rFonts w:ascii="Arial" w:hAnsi="Arial" w:eastAsia="Arial" w:cs="Arial"/>
          <w:b/>
          <w:sz w:val="24"/>
          <w:szCs w:val="24"/>
        </w:rPr>
        <w:t xml:space="preserve"> </w:t>
      </w:r>
      <w:r>
        <w:rPr>
          <w:rFonts w:ascii="Arial" w:hAnsi="Arial" w:eastAsia="Arial" w:cs="Arial"/>
          <w:sz w:val="24"/>
          <w:szCs w:val="24"/>
        </w:rPr>
        <w:t xml:space="preserve"> da licitação em epígrafe</w:t>
      </w:r>
      <w:r>
        <w:rPr>
          <w:rFonts w:ascii="Arial" w:hAnsi="Arial" w:eastAsia="Arial" w:cs="Arial"/>
          <w:color w:val="000000" w:themeColor="text1"/>
          <w:sz w:val="24"/>
          <w:szCs w:val="24"/>
        </w:rPr>
        <w:t xml:space="preserve">, </w:t>
      </w:r>
      <w:r>
        <w:rPr>
          <w:rFonts w:ascii="Arial" w:hAnsi="Arial" w:eastAsia="Arial" w:cs="Arial"/>
          <w:sz w:val="24"/>
          <w:szCs w:val="24"/>
        </w:rPr>
        <w:t xml:space="preserve">comunica aos interessados que irá realizar </w:t>
      </w:r>
      <w:r>
        <w:rPr>
          <w:rFonts w:ascii="Arial" w:hAnsi="Arial" w:eastAsia="Arial"/>
          <w:b/>
          <w:sz w:val="24"/>
          <w:szCs w:val="24"/>
        </w:rPr>
        <w:t xml:space="preserve">PREGÃO ELETRÔNICO DO TIPO MENOR PREÇO PARA </w:t>
      </w:r>
      <w:r>
        <w:rPr>
          <w:rFonts w:ascii="Arial" w:hAnsi="Arial"/>
          <w:b/>
          <w:bCs/>
          <w:sz w:val="24"/>
          <w:szCs w:val="24"/>
        </w:rPr>
        <w:t xml:space="preserve">AQUISIÇÃO DE MEDICAMENTOS DA FARMÁCIA BÁSICA PARA SEIS MESES DE CONSUMO ESTIMADO, COM ENTREGA DE FORMA ORDINÁRIA,</w:t>
      </w:r>
      <w:r>
        <w:rPr>
          <w:rFonts w:ascii="Arial" w:hAnsi="Arial" w:cs="Arial"/>
          <w:b/>
          <w:bCs/>
          <w:sz w:val="24"/>
          <w:szCs w:val="24"/>
        </w:rPr>
        <w:t xml:space="preserve"> </w:t>
      </w:r>
      <w:r>
        <w:rPr>
          <w:rFonts w:ascii="Arial" w:hAnsi="Arial" w:eastAsia="Arial" w:cs="Arial"/>
          <w:sz w:val="24"/>
          <w:szCs w:val="24"/>
        </w:rPr>
        <w:t xml:space="preserve">solicitado pelo </w:t>
      </w:r>
      <w:r>
        <w:rPr>
          <w:rFonts w:ascii="Arial" w:hAnsi="Arial" w:cs="Arial"/>
          <w:sz w:val="24"/>
          <w:szCs w:val="24"/>
        </w:rPr>
        <w:t xml:space="preserve">Fundo Municipal de </w:t>
      </w:r>
      <w:r>
        <w:rPr>
          <w:rFonts w:ascii="Arial" w:hAnsi="Arial" w:cs="Arial"/>
          <w:sz w:val="24"/>
          <w:szCs w:val="24"/>
        </w:rPr>
        <w:t xml:space="preserve">Saúde </w:t>
      </w:r>
      <w:r>
        <w:rPr>
          <w:rFonts w:ascii="Arial" w:hAnsi="Arial" w:eastAsia="Arial" w:cs="Arial"/>
          <w:sz w:val="24"/>
          <w:szCs w:val="24"/>
        </w:rPr>
        <w:t xml:space="preserve">na forma abaixo discriminada, que serão distribuídas conforme solicitação da Secretaria.</w:t>
      </w:r>
      <w:r/>
    </w:p>
    <w:p>
      <w:pPr>
        <w:pStyle w:val="853"/>
        <w:ind w:left="-709" w:right="-284"/>
        <w:jc w:val="both"/>
        <w:spacing w:before="120" w:after="120" w:line="276" w:lineRule="auto"/>
        <w:rPr>
          <w:rFonts w:ascii="Arial" w:hAnsi="Arial" w:eastAsia="Arial" w:cs="Arial"/>
          <w:sz w:val="24"/>
          <w:szCs w:val="24"/>
        </w:rPr>
      </w:pPr>
      <w:r>
        <w:rPr>
          <w:rFonts w:ascii="Arial" w:hAnsi="Arial" w:eastAsia="Arial" w:cs="Arial"/>
          <w:sz w:val="24"/>
          <w:szCs w:val="24"/>
        </w:rPr>
      </w:r>
      <w:r/>
    </w:p>
    <w:tbl>
      <w:tblPr>
        <w:tblW w:w="10774" w:type="dxa"/>
        <w:tblInd w:w="-998" w:type="dxa"/>
        <w:tblCellMar>
          <w:left w:w="70" w:type="dxa"/>
          <w:right w:w="70" w:type="dxa"/>
        </w:tblCellMar>
        <w:tblLook w:val="04A0" w:firstRow="1" w:lastRow="0" w:firstColumn="1" w:lastColumn="0" w:noHBand="0" w:noVBand="1"/>
      </w:tblPr>
      <w:tblGrid>
        <w:gridCol w:w="709"/>
        <w:gridCol w:w="993"/>
        <w:gridCol w:w="992"/>
        <w:gridCol w:w="1463"/>
        <w:gridCol w:w="3063"/>
        <w:gridCol w:w="1273"/>
        <w:gridCol w:w="1147"/>
        <w:gridCol w:w="1134"/>
      </w:tblGrid>
      <w:tr>
        <w:trPr>
          <w:trHeight w:val="570"/>
        </w:trPr>
        <w:tc>
          <w:tcPr>
            <w:gridSpan w:val="8"/>
            <w:shd w:val="clear" w:color="000000" w:fill="aeaaaa"/>
            <w:tcBorders>
              <w:top w:val="single" w:color="auto" w:sz="4" w:space="0"/>
              <w:left w:val="single" w:color="auto" w:sz="4" w:space="0"/>
              <w:bottom w:val="single" w:color="auto" w:sz="4" w:space="0"/>
              <w:right w:val="single" w:color="auto" w:sz="4" w:space="0"/>
            </w:tcBorders>
            <w:tcW w:w="10774"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PROPOSTA COMERCIAL</w:t>
            </w:r>
            <w:r/>
          </w:p>
        </w:tc>
      </w:tr>
      <w:tr>
        <w:trPr>
          <w:trHeight w:val="570"/>
        </w:trPr>
        <w:tc>
          <w:tcPr>
            <w:shd w:val="clear" w:color="000000" w:fill="aeaaaa"/>
            <w:tcBorders>
              <w:top w:val="single" w:color="auto"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ITEM</w:t>
            </w:r>
            <w:r/>
          </w:p>
        </w:tc>
        <w:tc>
          <w:tcPr>
            <w:shd w:val="clear" w:color="000000" w:fill="aeaaaa"/>
            <w:tcBorders>
              <w:top w:val="single" w:color="auto" w:sz="4" w:space="0"/>
              <w:left w:val="none" w:color="000000" w:sz="4" w:space="0"/>
              <w:bottom w:val="single" w:color="auto" w:sz="4" w:space="0"/>
              <w:right w:val="single" w:color="auto" w:sz="4" w:space="0"/>
            </w:tcBorders>
            <w:tcW w:w="99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CATMAT</w:t>
            </w:r>
            <w:r/>
          </w:p>
        </w:tc>
        <w:tc>
          <w:tcPr>
            <w:shd w:val="clear" w:color="000000" w:fill="aeaaaa"/>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QUANT</w:t>
            </w:r>
            <w:r/>
          </w:p>
        </w:tc>
        <w:tc>
          <w:tcPr>
            <w:shd w:val="clear" w:color="000000" w:fill="aeaaaa"/>
            <w:tcBorders>
              <w:top w:val="single" w:color="auto"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000000" w:fill="aeaaaa"/>
            <w:tcBorders>
              <w:top w:val="single" w:color="auto" w:sz="4" w:space="0"/>
              <w:left w:val="none" w:color="000000" w:sz="4" w:space="0"/>
              <w:bottom w:val="single" w:color="auto" w:sz="4" w:space="0"/>
              <w:right w:val="single" w:color="auto" w:sz="4" w:space="0"/>
            </w:tcBorders>
            <w:tcW w:w="306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DESCRIÇÃO</w:t>
            </w:r>
            <w:r/>
          </w:p>
        </w:tc>
        <w:tc>
          <w:tcPr>
            <w:shd w:val="clear" w:color="000000" w:fill="aeaaaa"/>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MARCA</w:t>
            </w:r>
            <w:r/>
          </w:p>
        </w:tc>
        <w:tc>
          <w:tcPr>
            <w:shd w:val="clear" w:color="000000" w:fill="aeaaaa"/>
            <w:tcBorders>
              <w:top w:val="single" w:color="auto" w:sz="4" w:space="0"/>
              <w:left w:val="single" w:color="auto" w:sz="4" w:space="0"/>
              <w:bottom w:val="single" w:color="auto" w:sz="4" w:space="0"/>
              <w:right w:val="single" w:color="auto" w:sz="4" w:space="0"/>
            </w:tcBorders>
            <w:tcW w:w="1147"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VALOR UNITÁRIO</w:t>
            </w:r>
            <w:r/>
          </w:p>
        </w:tc>
        <w:tc>
          <w:tcPr>
            <w:shd w:val="clear" w:color="000000" w:fill="aeaaaa"/>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VALOR           TOTAL</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470124</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FRASCO</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ACIDO GRAXOS ESSENCIAIS 200ML</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bCs/>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bCs/>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5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327566</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800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AMPOLA</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ACIDO </w:t>
            </w:r>
            <w:r>
              <w:rPr>
                <w:rFonts w:ascii="Arial" w:hAnsi="Arial" w:eastAsia="Times New Roman" w:cs="Arial"/>
                <w:color w:val="000000"/>
                <w:lang w:eastAsia="pt-BR"/>
              </w:rPr>
              <w:t xml:space="preserve">TRANEXÂMICO</w:t>
            </w:r>
            <w:r>
              <w:rPr>
                <w:rFonts w:ascii="Arial" w:hAnsi="Arial" w:eastAsia="Times New Roman" w:cs="Arial"/>
                <w:color w:val="000000"/>
                <w:lang w:eastAsia="pt-BR"/>
              </w:rPr>
              <w:t xml:space="preserve">, 50MG/ML, SOLUÇÃO INJETÁVEL - AMPOLA 5ML</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5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339846</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1.000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FRASCO- AMPOLA</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CEFEPIMA</w:t>
            </w:r>
            <w:r>
              <w:rPr>
                <w:rFonts w:ascii="Arial" w:hAnsi="Arial" w:eastAsia="Times New Roman" w:cs="Arial"/>
                <w:color w:val="000000"/>
                <w:lang w:eastAsia="pt-BR"/>
              </w:rPr>
              <w:t xml:space="preserve">, CLORIDRATO, 1G, PÓ </w:t>
            </w:r>
            <w:r>
              <w:rPr>
                <w:rFonts w:ascii="Arial" w:hAnsi="Arial" w:eastAsia="Times New Roman" w:cs="Arial"/>
                <w:color w:val="000000"/>
                <w:lang w:eastAsia="pt-BR"/>
              </w:rPr>
              <w:t xml:space="preserve">LIÓFILO</w:t>
            </w:r>
            <w:r>
              <w:rPr>
                <w:rFonts w:ascii="Arial" w:hAnsi="Arial" w:eastAsia="Times New Roman" w:cs="Arial"/>
                <w:color w:val="000000"/>
                <w:lang w:eastAsia="pt-BR"/>
              </w:rPr>
              <w:t xml:space="preserve"> P/ INJETÁVEL - FRASCO-AMPOLA</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5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448844</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3.000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FRASCO- AMPOLA</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CETOPROFENO, 100MG, PÓ </w:t>
            </w:r>
            <w:r>
              <w:rPr>
                <w:rFonts w:ascii="Arial" w:hAnsi="Arial" w:eastAsia="Times New Roman" w:cs="Arial"/>
                <w:color w:val="000000"/>
                <w:lang w:eastAsia="pt-BR"/>
              </w:rPr>
              <w:t xml:space="preserve">LIÓFILO</w:t>
            </w:r>
            <w:r>
              <w:rPr>
                <w:rFonts w:ascii="Arial" w:hAnsi="Arial" w:eastAsia="Times New Roman" w:cs="Arial"/>
                <w:color w:val="000000"/>
                <w:lang w:eastAsia="pt-BR"/>
              </w:rPr>
              <w:t xml:space="preserve"> P/ INJETÁVEL, ENDOVENOSO - FRASCO - AMPOLA</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5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448845</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5.000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AMPOLA</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CETOPROFENO, 50MG/ML, SOLUÇÃO INJETÁVEL, INTRAMUSCULAR - AMPOLA 2ML  </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6</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292419</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1.500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AMPOLA</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CLINDAMICINA 150MG/ML - AMPOLA 4ML</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270119</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200.000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COMPRIMIDO</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CLONAZEPAM 2MG - COMPRIMIDO</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271000</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10.000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COMPRIMIDO</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DICLOFENACO DE SÓDIO 50MG - COMPRIMIDO</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5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270999</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3.000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AMPOLA</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DICLOFENACO, SAL SÓDICO, 25MG/ML, SOLUÇÃO INJETÁVEL - AMPOLA 3ML         </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455699</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3.000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COMPRIMIDO</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DOXICICLINA</w:t>
            </w:r>
            <w:r>
              <w:rPr>
                <w:rFonts w:ascii="Arial" w:hAnsi="Arial" w:eastAsia="Times New Roman" w:cs="Arial"/>
                <w:color w:val="000000"/>
                <w:lang w:eastAsia="pt-BR"/>
              </w:rPr>
              <w:t xml:space="preserve"> 100MG - COMPRIMIDO</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5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292399</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500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AMPOLA</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FITOMENADIONA</w:t>
            </w:r>
            <w:r>
              <w:rPr>
                <w:rFonts w:ascii="Arial" w:hAnsi="Arial" w:eastAsia="Times New Roman" w:cs="Arial"/>
                <w:color w:val="000000"/>
                <w:lang w:eastAsia="pt-BR"/>
              </w:rPr>
              <w:t xml:space="preserve">, 10MG/ML, SOLUÇÃO INJETÁVEL - AMPOLA 1ML (IM)</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5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268256</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AMPOLA</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GENTAMICINA, 40MG/ML, SOLUÇÃO INJETÁVEL - AMPOLA 2ML</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448641</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50.000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COMPRIMIDO</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NIFEDIPINA</w:t>
            </w:r>
            <w:r>
              <w:rPr>
                <w:rFonts w:ascii="Arial" w:hAnsi="Arial" w:eastAsia="Times New Roman" w:cs="Arial"/>
                <w:color w:val="000000"/>
                <w:lang w:eastAsia="pt-BR"/>
              </w:rPr>
              <w:t xml:space="preserve"> 20MG, </w:t>
            </w:r>
            <w:r>
              <w:rPr>
                <w:rFonts w:ascii="Arial" w:hAnsi="Arial" w:eastAsia="Times New Roman" w:cs="Arial"/>
                <w:color w:val="000000"/>
                <w:lang w:eastAsia="pt-BR"/>
              </w:rPr>
              <w:t xml:space="preserve">RETARD</w:t>
            </w:r>
            <w:r>
              <w:rPr>
                <w:rFonts w:ascii="Arial" w:hAnsi="Arial" w:eastAsia="Times New Roman" w:cs="Arial"/>
                <w:color w:val="000000"/>
                <w:lang w:eastAsia="pt-BR"/>
              </w:rPr>
              <w:t xml:space="preserve"> - COMPRIMIDO</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273710</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30.000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COMPRIMIDO</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NIMESULIDA</w:t>
            </w:r>
            <w:r>
              <w:rPr>
                <w:rFonts w:ascii="Arial" w:hAnsi="Arial" w:eastAsia="Times New Roman" w:cs="Arial"/>
                <w:color w:val="000000"/>
                <w:lang w:eastAsia="pt-BR"/>
              </w:rPr>
              <w:t xml:space="preserve">, 100MG - COMPRIMIDO</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268160</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1.000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FRASCO- AMPOLA</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OMEPRAZOL, 40MG, INJETÁVEL - FRASCO-AMPOLA</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510"/>
        </w:trPr>
        <w:tc>
          <w:tcPr>
            <w:shd w:val="clear" w:color="auto" w:fill="auto"/>
            <w:tcBorders>
              <w:top w:val="none" w:color="000000" w:sz="4" w:space="0"/>
              <w:left w:val="single" w:color="auto" w:sz="4" w:space="0"/>
              <w:bottom w:val="none" w:color="000000"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16</w:t>
            </w:r>
            <w:r/>
          </w:p>
        </w:tc>
        <w:tc>
          <w:tcPr>
            <w:shd w:val="clear" w:color="auto" w:fill="auto"/>
            <w:tcBorders>
              <w:top w:val="none" w:color="000000" w:sz="4" w:space="0"/>
              <w:left w:val="none" w:color="000000" w:sz="4" w:space="0"/>
              <w:bottom w:val="none" w:color="000000"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279493</w:t>
            </w:r>
            <w:r/>
          </w:p>
        </w:tc>
        <w:tc>
          <w:tcPr>
            <w:shd w:val="clear" w:color="auto" w:fill="auto"/>
            <w:tcBorders>
              <w:top w:val="none" w:color="000000" w:sz="4" w:space="0"/>
              <w:left w:val="none" w:color="000000" w:sz="4" w:space="0"/>
              <w:bottom w:val="none" w:color="000000"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300</w:t>
            </w:r>
            <w:r/>
          </w:p>
        </w:tc>
        <w:tc>
          <w:tcPr>
            <w:shd w:val="clear" w:color="auto" w:fill="auto"/>
            <w:tcBorders>
              <w:top w:val="none" w:color="000000" w:sz="4" w:space="0"/>
              <w:left w:val="none" w:color="000000" w:sz="4" w:space="0"/>
              <w:bottom w:val="none" w:color="000000"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BISNAGA</w:t>
            </w:r>
            <w:r/>
          </w:p>
        </w:tc>
        <w:tc>
          <w:tcPr>
            <w:shd w:val="clear" w:color="auto" w:fill="auto"/>
            <w:tcBorders>
              <w:top w:val="none" w:color="000000" w:sz="4" w:space="0"/>
              <w:left w:val="none" w:color="000000" w:sz="4" w:space="0"/>
              <w:bottom w:val="none" w:color="000000"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ÓXIDO DE ZINCO ASSOCIADO COM VITAMINA A + VITAMINA D, 150MG + 5.000UI + 900UI/G, POMADA - BISNAGA 45G</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17</w:t>
            </w:r>
            <w:r/>
          </w:p>
        </w:tc>
        <w:tc>
          <w:tcPr>
            <w:shd w:val="clear" w:color="auto" w:fill="auto"/>
            <w:tcBorders>
              <w:top w:val="single" w:color="auto"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270140</w:t>
            </w:r>
            <w:r/>
          </w:p>
        </w:tc>
        <w:tc>
          <w:tcPr>
            <w:shd w:val="clear" w:color="auto" w:fill="auto"/>
            <w:tcBorders>
              <w:top w:val="single" w:color="auto"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30.000</w:t>
            </w:r>
            <w:r/>
          </w:p>
        </w:tc>
        <w:tc>
          <w:tcPr>
            <w:shd w:val="clear" w:color="auto" w:fill="auto"/>
            <w:tcBorders>
              <w:top w:val="single" w:color="auto"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COMPRIMIDO</w:t>
            </w:r>
            <w:r/>
          </w:p>
        </w:tc>
        <w:tc>
          <w:tcPr>
            <w:shd w:val="clear" w:color="auto" w:fill="auto"/>
            <w:tcBorders>
              <w:top w:val="single" w:color="auto"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BIPERIDENO</w:t>
            </w:r>
            <w:r>
              <w:rPr>
                <w:rFonts w:ascii="Arial" w:hAnsi="Arial" w:eastAsia="Times New Roman" w:cs="Arial"/>
                <w:color w:val="000000"/>
                <w:lang w:eastAsia="pt-BR"/>
              </w:rPr>
              <w:t xml:space="preserve">, CLORIDRATO, 2MG - COMPRIMIDO</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267621</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20.000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COMPRIMIDO</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CARBONATO DE LÍTIO, 300MG - COMPRIMIDO</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267635</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10.000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COMPRIMIDO</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CLORPROMAZINA</w:t>
            </w:r>
            <w:r>
              <w:rPr>
                <w:rFonts w:ascii="Arial" w:hAnsi="Arial" w:eastAsia="Times New Roman" w:cs="Arial"/>
                <w:color w:val="000000"/>
                <w:lang w:eastAsia="pt-BR"/>
              </w:rPr>
              <w:t xml:space="preserve">, CLORIDRATO, 25MG - COMPRIMIDO</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20</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267195</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100.000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COMPRIMIDO</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DIAZEPAM 5MG - COMPRIMIDO</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5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21</w:t>
            </w:r>
            <w:r/>
          </w:p>
        </w:tc>
        <w:tc>
          <w:tcPr>
            <w:shd w:val="clear" w:color="auto" w:fill="auto"/>
            <w:tcBorders>
              <w:top w:val="none" w:color="000000" w:sz="4" w:space="0"/>
              <w:left w:val="none" w:color="000000" w:sz="4" w:space="0"/>
              <w:bottom w:val="single" w:color="auto" w:sz="4" w:space="0"/>
              <w:right w:val="single" w:color="auto" w:sz="4" w:space="0"/>
            </w:tcBorders>
            <w:tcW w:w="99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300723</w:t>
            </w:r>
            <w:r/>
          </w:p>
        </w:tc>
        <w:tc>
          <w:tcPr>
            <w:shd w:val="clear" w:color="auto" w:fill="auto"/>
            <w:tcBorders>
              <w:top w:val="none" w:color="000000" w:sz="4" w:space="0"/>
              <w:left w:val="none" w:color="000000" w:sz="4" w:space="0"/>
              <w:bottom w:val="single" w:color="auto" w:sz="4" w:space="0"/>
              <w:right w:val="single" w:color="auto" w:sz="4" w:space="0"/>
            </w:tcBorders>
            <w:tcW w:w="992"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100</w:t>
            </w:r>
            <w:r/>
          </w:p>
        </w:tc>
        <w:tc>
          <w:tcPr>
            <w:shd w:val="clear" w:color="auto" w:fill="auto"/>
            <w:tcBorders>
              <w:top w:val="none" w:color="000000" w:sz="4" w:space="0"/>
              <w:left w:val="none" w:color="000000" w:sz="4" w:space="0"/>
              <w:bottom w:val="single" w:color="auto" w:sz="4" w:space="0"/>
              <w:right w:val="single" w:color="auto" w:sz="4" w:space="0"/>
            </w:tcBorders>
            <w:tcW w:w="146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FRASCO</w:t>
            </w:r>
            <w:r/>
          </w:p>
        </w:tc>
        <w:tc>
          <w:tcPr>
            <w:shd w:val="clear" w:color="auto" w:fill="auto"/>
            <w:tcBorders>
              <w:top w:val="none" w:color="000000" w:sz="4" w:space="0"/>
              <w:left w:val="none" w:color="000000" w:sz="4" w:space="0"/>
              <w:bottom w:val="single" w:color="auto" w:sz="4" w:space="0"/>
              <w:right w:val="single" w:color="auto" w:sz="4" w:space="0"/>
            </w:tcBorders>
            <w:tcW w:w="306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color w:val="000000"/>
                <w:lang w:eastAsia="pt-BR"/>
              </w:rPr>
              <w:t xml:space="preserve">FENOBARBITAL SÓDICO 40MG/ML SOLUÇÃO ORAL GOTAS - FRASCO 20ML</w:t>
            </w:r>
            <w:r/>
          </w:p>
        </w:tc>
        <w:tc>
          <w:tcPr>
            <w:tcBorders>
              <w:top w:val="single" w:color="auto" w:sz="4" w:space="0"/>
              <w:left w:val="none" w:color="000000" w:sz="4" w:space="0"/>
              <w:bottom w:val="single" w:color="auto" w:sz="4" w:space="0"/>
              <w:right w:val="single" w:color="auto" w:sz="4" w:space="0"/>
            </w:tcBorders>
            <w:tcW w:w="127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4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r>
        <w:trPr>
          <w:trHeight w:val="469"/>
        </w:trPr>
        <w:tc>
          <w:tcPr>
            <w:gridSpan w:val="6"/>
            <w:shd w:val="clear" w:color="auto" w:fill="auto"/>
            <w:tcBorders>
              <w:top w:val="single" w:color="auto" w:sz="4" w:space="0"/>
              <w:left w:val="single" w:color="auto" w:sz="4" w:space="0"/>
              <w:bottom w:val="single" w:color="auto" w:sz="4" w:space="0"/>
              <w:right w:val="single" w:color="000000" w:sz="4" w:space="0"/>
            </w:tcBorders>
            <w:tcW w:w="8493" w:type="dxa"/>
            <w:vAlign w:val="center"/>
            <w:textDirection w:val="lrTb"/>
            <w:noWrap w:val="false"/>
          </w:tcPr>
          <w:p>
            <w:pPr>
              <w:jc w:val="center"/>
              <w:rPr>
                <w:rFonts w:ascii="Arial" w:hAnsi="Arial" w:eastAsia="Times New Roman" w:cs="Arial"/>
                <w:bCs/>
                <w:color w:val="ff0000"/>
                <w:lang w:eastAsia="pt-BR"/>
              </w:rPr>
            </w:pPr>
            <w:r>
              <w:rPr>
                <w:rFonts w:ascii="Arial" w:hAnsi="Arial" w:eastAsia="Times New Roman" w:cs="Arial"/>
                <w:color w:val="000000"/>
                <w:lang w:eastAsia="pt-BR"/>
              </w:rPr>
              <w:t xml:space="preserve">VALOR TOTAL ESTIMADO</w:t>
            </w:r>
            <w:r/>
          </w:p>
        </w:tc>
        <w:tc>
          <w:tcPr>
            <w:gridSpan w:val="2"/>
            <w:shd w:val="clear" w:color="auto" w:fill="auto"/>
            <w:tcBorders>
              <w:top w:val="single" w:color="auto" w:sz="4" w:space="0"/>
              <w:left w:val="none" w:color="000000" w:sz="4" w:space="0"/>
              <w:bottom w:val="single" w:color="auto" w:sz="4" w:space="0"/>
              <w:right w:val="single" w:color="000000" w:sz="4" w:space="0"/>
            </w:tcBorders>
            <w:tcW w:w="2281"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Cs/>
                <w:color w:val="ff0000"/>
                <w:lang w:eastAsia="pt-BR"/>
              </w:rPr>
              <w:t xml:space="preserve">R$ </w:t>
            </w:r>
            <w:r>
              <w:rPr>
                <w:rFonts w:ascii="Arial" w:hAnsi="Arial" w:eastAsia="Times New Roman" w:cs="Arial"/>
                <w:bCs/>
                <w:color w:val="ff0000"/>
                <w:lang w:eastAsia="pt-BR"/>
              </w:rPr>
              <w:t xml:space="preserve">XXX,XX</w:t>
            </w:r>
            <w:r/>
          </w:p>
        </w:tc>
      </w:tr>
    </w:tbl>
    <w:p>
      <w:pPr>
        <w:pStyle w:val="856"/>
        <w:contextualSpacing w:val="0"/>
        <w:ind w:left="0" w:right="49"/>
        <w:jc w:val="both"/>
        <w:spacing w:after="0" w:line="276" w:lineRule="auto"/>
        <w:tabs>
          <w:tab w:val="left" w:pos="851" w:leader="none"/>
        </w:tabs>
        <w:rPr>
          <w:rFonts w:ascii="Arial" w:hAnsi="Arial" w:cs="Arial"/>
          <w:i/>
          <w:color w:val="000000"/>
          <w:sz w:val="24"/>
          <w:szCs w:val="24"/>
        </w:rPr>
      </w:pPr>
      <w:r>
        <w:rPr>
          <w:rFonts w:ascii="Arial" w:hAnsi="Arial" w:cs="Arial"/>
          <w:i/>
          <w:color w:val="000000"/>
          <w:sz w:val="24"/>
          <w:szCs w:val="24"/>
        </w:rPr>
      </w:r>
      <w:r/>
    </w:p>
    <w:p>
      <w:pPr>
        <w:pStyle w:val="856"/>
        <w:contextualSpacing w:val="0"/>
        <w:ind w:left="0" w:right="49"/>
        <w:jc w:val="both"/>
        <w:spacing w:after="0" w:line="276" w:lineRule="auto"/>
        <w:tabs>
          <w:tab w:val="left" w:pos="851" w:leader="none"/>
        </w:tabs>
        <w:rPr>
          <w:rFonts w:ascii="Arial" w:hAnsi="Arial" w:cs="Arial"/>
          <w:i/>
          <w:color w:val="000000"/>
          <w:sz w:val="24"/>
          <w:szCs w:val="24"/>
        </w:rPr>
      </w:pPr>
      <w:r>
        <w:rPr>
          <w:rFonts w:ascii="Arial" w:hAnsi="Arial" w:cs="Arial"/>
          <w:i/>
          <w:color w:val="000000"/>
          <w:sz w:val="24"/>
          <w:szCs w:val="24"/>
        </w:rPr>
        <w:t xml:space="preserve">OBS.:O</w:t>
      </w:r>
      <w:r>
        <w:rPr>
          <w:rFonts w:ascii="Arial" w:hAnsi="Arial" w:cs="Arial"/>
          <w:i/>
          <w:color w:val="000000"/>
          <w:sz w:val="24"/>
          <w:szCs w:val="24"/>
        </w:rPr>
        <w:t xml:space="preserve"> prazo de validade da proposta não será inferior a </w:t>
      </w:r>
      <w:r>
        <w:rPr>
          <w:rFonts w:ascii="Arial" w:hAnsi="Arial" w:cs="Arial"/>
          <w:bCs/>
          <w:i/>
          <w:iCs/>
          <w:sz w:val="24"/>
          <w:szCs w:val="24"/>
        </w:rPr>
        <w:t xml:space="preserve">90 (noventa</w:t>
      </w:r>
      <w:r>
        <w:rPr>
          <w:rFonts w:ascii="Arial" w:hAnsi="Arial" w:cs="Arial"/>
          <w:i/>
          <w:sz w:val="24"/>
          <w:szCs w:val="24"/>
        </w:rPr>
        <w:t xml:space="preserve">) </w:t>
      </w:r>
      <w:r>
        <w:rPr>
          <w:rFonts w:ascii="Arial" w:hAnsi="Arial" w:cs="Arial"/>
          <w:bCs/>
          <w:i/>
          <w:iCs/>
          <w:color w:val="000000"/>
          <w:sz w:val="24"/>
          <w:szCs w:val="24"/>
        </w:rPr>
        <w:t xml:space="preserve">dias</w:t>
      </w:r>
      <w:r>
        <w:rPr>
          <w:rFonts w:ascii="Arial" w:hAnsi="Arial" w:cs="Arial"/>
          <w:i/>
          <w:color w:val="000000"/>
          <w:sz w:val="24"/>
          <w:szCs w:val="24"/>
        </w:rPr>
        <w:t xml:space="preserve">, a contar da data de sua apresentação, consoante cláusula 6.5 do edital. </w:t>
      </w:r>
      <w:r/>
    </w:p>
    <w:p>
      <w:pPr>
        <w:pStyle w:val="853"/>
        <w:jc w:val="both"/>
        <w:spacing w:line="276" w:lineRule="auto"/>
        <w:rPr>
          <w:rFonts w:ascii="Arial" w:hAnsi="Arial" w:eastAsia="Arial" w:cs="Arial"/>
          <w:b/>
          <w:sz w:val="24"/>
          <w:szCs w:val="24"/>
        </w:rPr>
      </w:pPr>
      <w:r>
        <w:rPr>
          <w:rFonts w:ascii="Arial" w:hAnsi="Arial" w:eastAsia="Arial" w:cs="Arial"/>
          <w:b/>
          <w:sz w:val="24"/>
          <w:szCs w:val="24"/>
        </w:rPr>
        <w:t xml:space="preserve">(local e data)</w:t>
      </w:r>
      <w:r/>
    </w:p>
    <w:p>
      <w:pPr>
        <w:pStyle w:val="853"/>
        <w:jc w:val="both"/>
        <w:spacing w:before="120" w:line="276" w:lineRule="auto"/>
        <w:rPr>
          <w:rFonts w:ascii="Arial" w:hAnsi="Arial" w:eastAsia="Arial" w:cs="Arial"/>
          <w:b/>
          <w:sz w:val="24"/>
          <w:szCs w:val="24"/>
        </w:rPr>
      </w:pPr>
      <w:r>
        <w:rPr>
          <w:rFonts w:ascii="Arial" w:hAnsi="Arial" w:eastAsia="Arial" w:cs="Arial"/>
          <w:b/>
          <w:sz w:val="24"/>
          <w:szCs w:val="24"/>
        </w:rPr>
        <w:t xml:space="preserve">(nome completo, </w:t>
      </w:r>
      <w:r>
        <w:rPr>
          <w:rFonts w:ascii="Arial" w:hAnsi="Arial" w:eastAsia="Arial" w:cs="Arial"/>
          <w:b/>
          <w:sz w:val="24"/>
          <w:szCs w:val="24"/>
        </w:rPr>
        <w:t xml:space="preserve">C.P.F</w:t>
      </w:r>
      <w:r>
        <w:rPr>
          <w:rFonts w:ascii="Arial" w:hAnsi="Arial" w:eastAsia="Arial" w:cs="Arial"/>
          <w:b/>
          <w:sz w:val="24"/>
          <w:szCs w:val="24"/>
        </w:rPr>
        <w:t xml:space="preserve">., cargo ou função e assinatura do representante legal)</w:t>
      </w:r>
      <w:r/>
    </w:p>
    <w:p>
      <w:pPr>
        <w:pStyle w:val="853"/>
        <w:jc w:val="both"/>
        <w:spacing w:before="120" w:line="276" w:lineRule="auto"/>
        <w:rPr>
          <w:rFonts w:ascii="Arial" w:hAnsi="Arial" w:eastAsia="Arial" w:cs="Arial"/>
          <w:sz w:val="24"/>
          <w:szCs w:val="24"/>
        </w:rPr>
      </w:pPr>
      <w:r>
        <w:rPr>
          <w:rFonts w:ascii="Arial" w:hAnsi="Arial" w:eastAsia="Arial" w:cs="Arial"/>
          <w:sz w:val="24"/>
          <w:szCs w:val="24"/>
        </w:rPr>
        <w:t xml:space="preserve">Proposta escrita, impressa nos moldes do Edital.</w:t>
      </w:r>
      <w:r/>
    </w:p>
    <w:p>
      <w:pPr>
        <w:pStyle w:val="853"/>
        <w:jc w:val="both"/>
        <w:spacing w:before="120" w:line="276" w:lineRule="auto"/>
        <w:rPr>
          <w:rFonts w:ascii="Arial" w:hAnsi="Arial" w:eastAsia="Arial" w:cs="Arial"/>
          <w:sz w:val="24"/>
          <w:szCs w:val="24"/>
        </w:rPr>
      </w:pPr>
      <w:r>
        <w:rPr>
          <w:rFonts w:ascii="Arial" w:hAnsi="Arial" w:eastAsia="Arial" w:cs="Arial"/>
          <w:sz w:val="24"/>
          <w:szCs w:val="24"/>
        </w:rPr>
      </w:r>
      <w:r/>
    </w:p>
    <w:p>
      <w:pPr>
        <w:pStyle w:val="853"/>
        <w:jc w:val="both"/>
        <w:spacing w:before="120" w:line="276" w:lineRule="auto"/>
        <w:rPr>
          <w:rFonts w:ascii="Arial" w:hAnsi="Arial" w:eastAsia="Arial" w:cs="Arial"/>
          <w:sz w:val="24"/>
          <w:szCs w:val="24"/>
        </w:rPr>
      </w:pPr>
      <w:r>
        <w:rPr>
          <w:rFonts w:ascii="Arial" w:hAnsi="Arial" w:eastAsia="Arial" w:cs="Arial"/>
          <w:sz w:val="24"/>
          <w:szCs w:val="24"/>
        </w:rPr>
      </w:r>
      <w:r/>
    </w:p>
    <w:p>
      <w:pPr>
        <w:pStyle w:val="853"/>
        <w:jc w:val="both"/>
        <w:spacing w:before="120" w:line="276" w:lineRule="auto"/>
        <w:rPr>
          <w:rFonts w:ascii="Arial" w:hAnsi="Arial" w:eastAsia="Arial" w:cs="Arial"/>
          <w:sz w:val="24"/>
          <w:szCs w:val="24"/>
        </w:rPr>
      </w:pPr>
      <w:r>
        <w:rPr>
          <w:rFonts w:ascii="Arial" w:hAnsi="Arial" w:eastAsia="Arial" w:cs="Arial"/>
          <w:sz w:val="24"/>
          <w:szCs w:val="24"/>
        </w:rPr>
      </w:r>
      <w:r/>
    </w:p>
    <w:p>
      <w:pPr>
        <w:pStyle w:val="853"/>
        <w:jc w:val="both"/>
        <w:spacing w:before="120" w:line="276" w:lineRule="auto"/>
        <w:rPr>
          <w:rFonts w:ascii="Arial" w:hAnsi="Arial" w:eastAsia="Arial" w:cs="Arial"/>
          <w:sz w:val="24"/>
          <w:szCs w:val="24"/>
        </w:rPr>
      </w:pPr>
      <w:r>
        <w:rPr>
          <w:rFonts w:ascii="Arial" w:hAnsi="Arial" w:eastAsia="Arial" w:cs="Arial"/>
          <w:sz w:val="24"/>
          <w:szCs w:val="24"/>
        </w:rPr>
      </w:r>
      <w:r/>
    </w:p>
    <w:p>
      <w:pPr>
        <w:pStyle w:val="853"/>
        <w:jc w:val="both"/>
        <w:spacing w:before="120" w:line="276" w:lineRule="auto"/>
        <w:rPr>
          <w:rFonts w:ascii="Arial" w:hAnsi="Arial" w:eastAsia="Arial" w:cs="Arial"/>
          <w:sz w:val="24"/>
          <w:szCs w:val="24"/>
        </w:rPr>
      </w:pPr>
      <w:r>
        <w:rPr>
          <w:rFonts w:ascii="Arial" w:hAnsi="Arial" w:eastAsia="Arial" w:cs="Arial"/>
          <w:sz w:val="24"/>
          <w:szCs w:val="24"/>
        </w:rPr>
      </w:r>
      <w:r/>
    </w:p>
    <w:p>
      <w:pPr>
        <w:pStyle w:val="853"/>
        <w:jc w:val="both"/>
        <w:spacing w:before="120" w:line="276" w:lineRule="auto"/>
        <w:rPr>
          <w:rFonts w:ascii="Arial" w:hAnsi="Arial" w:eastAsia="Arial" w:cs="Arial"/>
          <w:sz w:val="24"/>
          <w:szCs w:val="24"/>
        </w:rPr>
      </w:pPr>
      <w:r>
        <w:rPr>
          <w:rFonts w:ascii="Arial" w:hAnsi="Arial" w:eastAsia="Arial" w:cs="Arial"/>
          <w:sz w:val="24"/>
          <w:szCs w:val="24"/>
        </w:rPr>
      </w:r>
      <w:r/>
    </w:p>
    <w:p>
      <w:pPr>
        <w:pStyle w:val="853"/>
        <w:jc w:val="both"/>
        <w:spacing w:before="120" w:line="276" w:lineRule="auto"/>
        <w:rPr>
          <w:rFonts w:ascii="Arial" w:hAnsi="Arial" w:eastAsia="Arial" w:cs="Arial"/>
          <w:sz w:val="24"/>
          <w:szCs w:val="24"/>
        </w:rPr>
      </w:pPr>
      <w:r>
        <w:rPr>
          <w:rFonts w:ascii="Arial" w:hAnsi="Arial" w:eastAsia="Arial" w:cs="Arial"/>
          <w:sz w:val="24"/>
          <w:szCs w:val="24"/>
        </w:rPr>
      </w:r>
      <w:r/>
    </w:p>
    <w:p>
      <w:pPr>
        <w:pStyle w:val="853"/>
        <w:jc w:val="both"/>
        <w:spacing w:before="120" w:line="276" w:lineRule="auto"/>
        <w:rPr>
          <w:rFonts w:ascii="Arial" w:hAnsi="Arial" w:eastAsia="Arial" w:cs="Arial"/>
          <w:sz w:val="24"/>
          <w:szCs w:val="24"/>
        </w:rPr>
      </w:pPr>
      <w:r>
        <w:rPr>
          <w:rFonts w:ascii="Arial" w:hAnsi="Arial" w:eastAsia="Arial" w:cs="Arial"/>
          <w:sz w:val="24"/>
          <w:szCs w:val="24"/>
        </w:rPr>
      </w:r>
      <w:r/>
    </w:p>
    <w:p>
      <w:pPr>
        <w:pStyle w:val="853"/>
        <w:jc w:val="both"/>
        <w:spacing w:before="120" w:line="276" w:lineRule="auto"/>
        <w:rPr>
          <w:rFonts w:ascii="Arial" w:hAnsi="Arial" w:eastAsia="Arial" w:cs="Arial"/>
          <w:sz w:val="24"/>
          <w:szCs w:val="24"/>
        </w:rPr>
      </w:pPr>
      <w:r>
        <w:rPr>
          <w:rFonts w:ascii="Arial" w:hAnsi="Arial" w:eastAsia="Arial" w:cs="Arial"/>
          <w:sz w:val="24"/>
          <w:szCs w:val="24"/>
        </w:rPr>
      </w:r>
      <w:r/>
    </w:p>
    <w:p>
      <w:pPr>
        <w:pStyle w:val="853"/>
        <w:jc w:val="both"/>
        <w:spacing w:before="120" w:line="276" w:lineRule="auto"/>
        <w:rPr>
          <w:rFonts w:ascii="Arial" w:hAnsi="Arial" w:eastAsia="Arial" w:cs="Arial"/>
          <w:sz w:val="24"/>
          <w:szCs w:val="24"/>
        </w:rPr>
      </w:pPr>
      <w:r>
        <w:rPr>
          <w:rFonts w:ascii="Arial" w:hAnsi="Arial" w:eastAsia="Arial" w:cs="Arial"/>
          <w:sz w:val="24"/>
          <w:szCs w:val="24"/>
        </w:rPr>
      </w:r>
      <w:r/>
    </w:p>
    <w:p>
      <w:pPr>
        <w:pStyle w:val="853"/>
        <w:jc w:val="center"/>
        <w:spacing w:line="276" w:lineRule="auto"/>
        <w:rPr>
          <w:rFonts w:ascii="Arial" w:hAnsi="Arial" w:eastAsia="Arial" w:cs="Arial"/>
          <w:sz w:val="24"/>
          <w:szCs w:val="24"/>
          <w:u w:val="single"/>
        </w:rPr>
      </w:pPr>
      <w:r>
        <w:rPr>
          <w:rFonts w:ascii="Arial" w:hAnsi="Arial" w:eastAsia="Arial" w:cs="Arial"/>
          <w:b/>
          <w:sz w:val="24"/>
          <w:szCs w:val="24"/>
          <w:u w:val="single"/>
        </w:rPr>
        <w:t xml:space="preserve">ANEXO III:</w:t>
      </w:r>
      <w:r/>
    </w:p>
    <w:p>
      <w:pPr>
        <w:pStyle w:val="853"/>
        <w:jc w:val="center"/>
        <w:spacing w:line="276" w:lineRule="auto"/>
        <w:rPr>
          <w:rFonts w:ascii="Arial" w:hAnsi="Arial" w:eastAsia="Arial" w:cs="Arial"/>
          <w:sz w:val="24"/>
          <w:szCs w:val="24"/>
          <w:u w:val="single"/>
        </w:rPr>
      </w:pPr>
      <w:r>
        <w:rPr>
          <w:rFonts w:ascii="Arial" w:hAnsi="Arial" w:eastAsia="Arial" w:cs="Arial"/>
          <w:sz w:val="24"/>
          <w:szCs w:val="24"/>
          <w:u w:val="single"/>
        </w:rPr>
      </w:r>
      <w:r/>
    </w:p>
    <w:p>
      <w:pPr>
        <w:pStyle w:val="853"/>
        <w:jc w:val="center"/>
        <w:spacing w:line="276" w:lineRule="auto"/>
        <w:rPr>
          <w:rFonts w:ascii="Arial" w:hAnsi="Arial" w:eastAsia="Arial" w:cs="Arial"/>
          <w:b/>
          <w:sz w:val="24"/>
          <w:szCs w:val="24"/>
        </w:rPr>
      </w:pPr>
      <w:r>
        <w:rPr>
          <w:rFonts w:ascii="Arial" w:hAnsi="Arial" w:eastAsia="Arial" w:cs="Arial"/>
          <w:b/>
          <w:sz w:val="24"/>
          <w:szCs w:val="24"/>
        </w:rPr>
        <w:t xml:space="preserve">ANÁLISE ECONÔMICO – FINANCEIRO</w:t>
      </w:r>
      <w:r/>
    </w:p>
    <w:p>
      <w:pPr>
        <w:pStyle w:val="853"/>
        <w:jc w:val="center"/>
        <w:spacing w:line="276" w:lineRule="auto"/>
        <w:rPr>
          <w:rFonts w:ascii="Arial" w:hAnsi="Arial" w:eastAsia="Arial" w:cs="Arial"/>
          <w:sz w:val="24"/>
          <w:szCs w:val="24"/>
        </w:rPr>
      </w:pPr>
      <w:r>
        <w:rPr>
          <w:rFonts w:ascii="Arial" w:hAnsi="Arial" w:eastAsia="Arial" w:cs="Arial"/>
          <w:sz w:val="24"/>
          <w:szCs w:val="24"/>
        </w:rPr>
      </w:r>
      <w:r/>
    </w:p>
    <w:p>
      <w:pPr>
        <w:pStyle w:val="853"/>
        <w:jc w:val="both"/>
        <w:spacing w:before="120" w:after="120" w:line="276" w:lineRule="auto"/>
        <w:rPr>
          <w:rFonts w:ascii="Arial" w:hAnsi="Arial" w:eastAsia="Arial" w:cs="Arial"/>
          <w:sz w:val="24"/>
          <w:szCs w:val="24"/>
        </w:rPr>
      </w:pPr>
      <w:r>
        <w:rPr>
          <w:rFonts w:ascii="Arial" w:hAnsi="Arial" w:eastAsia="Arial" w:cs="Arial"/>
          <w:sz w:val="24"/>
          <w:szCs w:val="24"/>
        </w:rPr>
        <w:t xml:space="preserve">Pelo presente instrumento, a empresa ____________________________________, portadora do CNPJ </w:t>
      </w:r>
      <w:r>
        <w:rPr>
          <w:rFonts w:ascii="Arial" w:hAnsi="Arial" w:eastAsia="Arial" w:cs="Arial"/>
          <w:sz w:val="24"/>
          <w:szCs w:val="24"/>
        </w:rPr>
        <w:t xml:space="preserve">XX.XXX.XXX</w:t>
      </w:r>
      <w:r>
        <w:rPr>
          <w:rFonts w:ascii="Arial" w:hAnsi="Arial" w:eastAsia="Arial" w:cs="Arial"/>
          <w:sz w:val="24"/>
          <w:szCs w:val="24"/>
        </w:rPr>
        <w:t xml:space="preserve">/</w:t>
      </w:r>
      <w:r>
        <w:rPr>
          <w:rFonts w:ascii="Arial" w:hAnsi="Arial" w:eastAsia="Arial" w:cs="Arial"/>
          <w:sz w:val="24"/>
          <w:szCs w:val="24"/>
        </w:rPr>
        <w:t xml:space="preserve">XXXX</w:t>
      </w:r>
      <w:r>
        <w:rPr>
          <w:rFonts w:ascii="Arial" w:hAnsi="Arial" w:eastAsia="Arial" w:cs="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eastAsia="Arial" w:cs="Arial"/>
          <w:sz w:val="24"/>
          <w:szCs w:val="24"/>
        </w:rPr>
        <w:t xml:space="preserve">XXXXXXXXXX</w:t>
      </w:r>
      <w:r>
        <w:rPr>
          <w:rFonts w:ascii="Arial" w:hAnsi="Arial" w:eastAsia="Arial" w:cs="Arial"/>
          <w:sz w:val="24"/>
          <w:szCs w:val="24"/>
        </w:rPr>
        <w:t xml:space="preserve">, expedida pela </w:t>
      </w:r>
      <w:r>
        <w:rPr>
          <w:rFonts w:ascii="Arial" w:hAnsi="Arial" w:eastAsia="Arial" w:cs="Arial"/>
          <w:sz w:val="24"/>
          <w:szCs w:val="24"/>
        </w:rPr>
        <w:t xml:space="preserve">XXXXX</w:t>
      </w:r>
      <w:r>
        <w:rPr>
          <w:rFonts w:ascii="Arial" w:hAnsi="Arial" w:eastAsia="Arial" w:cs="Arial"/>
          <w:sz w:val="24"/>
          <w:szCs w:val="24"/>
        </w:rPr>
        <w:t xml:space="preserve">/XX, inscrito no </w:t>
      </w:r>
      <w:r>
        <w:rPr>
          <w:rFonts w:ascii="Arial" w:hAnsi="Arial" w:eastAsia="Arial" w:cs="Arial"/>
          <w:sz w:val="24"/>
          <w:szCs w:val="24"/>
        </w:rPr>
        <w:t xml:space="preserve">C.P.F</w:t>
      </w:r>
      <w:r>
        <w:rPr>
          <w:rFonts w:ascii="Arial" w:hAnsi="Arial" w:eastAsia="Arial" w:cs="Arial"/>
          <w:sz w:val="24"/>
          <w:szCs w:val="24"/>
        </w:rPr>
        <w:t xml:space="preserve">. sob o nº </w:t>
      </w:r>
      <w:r>
        <w:rPr>
          <w:rFonts w:ascii="Arial" w:hAnsi="Arial" w:eastAsia="Arial" w:cs="Arial"/>
          <w:sz w:val="24"/>
          <w:szCs w:val="24"/>
        </w:rPr>
        <w:t xml:space="preserve">XXX.XXX.XXX</w:t>
      </w:r>
      <w:r>
        <w:rPr>
          <w:rFonts w:ascii="Arial" w:hAnsi="Arial" w:eastAsia="Arial" w:cs="Arial"/>
          <w:sz w:val="24"/>
          <w:szCs w:val="24"/>
        </w:rPr>
        <w:t xml:space="preserve">-XX, residente e domiciliado a _______________________________________ em estrito cumprimento ao previsto n</w:t>
      </w:r>
      <w:r>
        <w:rPr>
          <w:rFonts w:ascii="Arial" w:hAnsi="Arial" w:eastAsia="Arial" w:cs="Arial"/>
          <w:sz w:val="24"/>
          <w:szCs w:val="24"/>
        </w:rPr>
        <w:t xml:space="preserve">o</w:t>
      </w:r>
      <w:r>
        <w:rPr>
          <w:rFonts w:ascii="Arial" w:hAnsi="Arial" w:eastAsia="Arial" w:cs="Arial"/>
          <w:sz w:val="24"/>
          <w:szCs w:val="24"/>
        </w:rPr>
        <w:t xml:space="preserve">s</w:t>
      </w:r>
      <w:r>
        <w:rPr>
          <w:rFonts w:ascii="Arial" w:hAnsi="Arial" w:eastAsia="Arial" w:cs="Arial"/>
          <w:sz w:val="24"/>
          <w:szCs w:val="24"/>
        </w:rPr>
        <w:t xml:space="preserve"> processo</w:t>
      </w:r>
      <w:r>
        <w:rPr>
          <w:rFonts w:ascii="Arial" w:hAnsi="Arial" w:eastAsia="Arial" w:cs="Arial"/>
          <w:sz w:val="24"/>
          <w:szCs w:val="24"/>
        </w:rPr>
        <w:t xml:space="preserve">s</w:t>
      </w:r>
      <w:r>
        <w:rPr>
          <w:rFonts w:ascii="Arial" w:hAnsi="Arial" w:eastAsia="Arial" w:cs="Arial"/>
          <w:sz w:val="24"/>
          <w:szCs w:val="24"/>
        </w:rPr>
        <w:t xml:space="preserve"> administrativo</w:t>
      </w:r>
      <w:r>
        <w:rPr>
          <w:rFonts w:ascii="Arial" w:hAnsi="Arial" w:eastAsia="Arial" w:cs="Arial"/>
          <w:sz w:val="24"/>
          <w:szCs w:val="24"/>
        </w:rPr>
        <w:t xml:space="preserve">s</w:t>
      </w:r>
      <w:r>
        <w:rPr>
          <w:rFonts w:ascii="Arial" w:hAnsi="Arial" w:eastAsia="Arial" w:cs="Arial"/>
          <w:sz w:val="24"/>
          <w:szCs w:val="24"/>
        </w:rPr>
        <w:t xml:space="preserve"> nº </w:t>
      </w:r>
      <w:r>
        <w:rPr>
          <w:rFonts w:ascii="Arial" w:hAnsi="Arial" w:cs="Arial"/>
          <w:sz w:val="24"/>
          <w:szCs w:val="24"/>
        </w:rPr>
        <w:t xml:space="preserve">7.680/2022 e 7.683/2022</w:t>
      </w:r>
      <w:r>
        <w:rPr>
          <w:rFonts w:ascii="Arial" w:hAnsi="Arial" w:eastAsia="Arial" w:cs="Arial"/>
          <w:sz w:val="24"/>
          <w:szCs w:val="24"/>
        </w:rPr>
        <w:t xml:space="preserve">, e processo licitatório Pregão Eletrônico nº </w:t>
      </w:r>
      <w:r>
        <w:rPr>
          <w:rFonts w:ascii="Arial" w:hAnsi="Arial" w:eastAsia="Arial" w:cs="Arial"/>
          <w:sz w:val="24"/>
          <w:szCs w:val="24"/>
        </w:rPr>
        <w:t xml:space="preserve">091</w:t>
      </w:r>
      <w:r>
        <w:rPr>
          <w:rFonts w:ascii="Arial" w:hAnsi="Arial" w:eastAsia="Arial" w:cs="Arial"/>
          <w:sz w:val="24"/>
          <w:szCs w:val="24"/>
        </w:rPr>
        <w:t xml:space="preserve">/2022</w:t>
      </w:r>
      <w:r/>
      <w:r>
        <w:rPr>
          <w:rFonts w:ascii="Arial" w:hAnsi="Arial" w:eastAsia="Arial" w:cs="Arial"/>
          <w:sz w:val="24"/>
          <w:szCs w:val="24"/>
        </w:rPr>
      </w:r>
      <w:r>
        <w:rPr>
          <w:rFonts w:ascii="Arial" w:hAnsi="Arial" w:eastAsia="Arial" w:cs="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853"/>
        <w:jc w:val="both"/>
        <w:spacing w:line="276" w:lineRule="auto"/>
        <w:rPr>
          <w:rFonts w:ascii="Arial" w:hAnsi="Arial" w:eastAsia="Arial" w:cs="Arial"/>
          <w:sz w:val="24"/>
          <w:szCs w:val="24"/>
        </w:rPr>
      </w:pPr>
      <w:r>
        <w:rPr>
          <w:rFonts w:ascii="Arial" w:hAnsi="Arial" w:eastAsia="Arial" w:cs="Arial"/>
          <w:sz w:val="24"/>
          <w:szCs w:val="24"/>
        </w:rPr>
      </w:r>
      <w:r/>
    </w:p>
    <w:p>
      <w:pPr>
        <w:pStyle w:val="853"/>
        <w:jc w:val="both"/>
        <w:spacing w:line="276" w:lineRule="auto"/>
        <w:rPr>
          <w:rFonts w:ascii="Arial" w:hAnsi="Arial" w:eastAsia="Arial" w:cs="Arial"/>
          <w:sz w:val="24"/>
          <w:szCs w:val="24"/>
          <w:u w:val="single"/>
        </w:rPr>
      </w:pPr>
      <w:r>
        <w:rPr>
          <w:rFonts w:ascii="Arial" w:hAnsi="Arial" w:eastAsia="Arial" w:cs="Arial"/>
          <w:sz w:val="24"/>
          <w:szCs w:val="24"/>
        </w:rPr>
        <w:t xml:space="preserve">LC=        </w:t>
      </w:r>
      <w:r>
        <w:rPr>
          <w:rFonts w:ascii="Arial" w:hAnsi="Arial" w:eastAsia="Arial" w:cs="Arial"/>
          <w:sz w:val="24"/>
          <w:szCs w:val="24"/>
          <w:u w:val="single"/>
        </w:rPr>
        <w:t xml:space="preserve">Ativo Circulante</w:t>
      </w:r>
      <w:r/>
    </w:p>
    <w:p>
      <w:pPr>
        <w:pStyle w:val="853"/>
        <w:jc w:val="both"/>
        <w:spacing w:line="276" w:lineRule="auto"/>
        <w:rPr>
          <w:rFonts w:ascii="Arial" w:hAnsi="Arial" w:eastAsia="Arial" w:cs="Arial"/>
          <w:sz w:val="24"/>
          <w:szCs w:val="24"/>
        </w:rPr>
      </w:pPr>
      <w:r>
        <w:rPr>
          <w:rFonts w:ascii="Arial" w:hAnsi="Arial" w:eastAsia="Arial" w:cs="Arial"/>
          <w:sz w:val="24"/>
          <w:szCs w:val="24"/>
        </w:rPr>
        <w:t xml:space="preserve">              Passivo Circulante</w:t>
      </w:r>
      <w:r/>
    </w:p>
    <w:p>
      <w:pPr>
        <w:pStyle w:val="853"/>
        <w:jc w:val="both"/>
        <w:spacing w:line="276" w:lineRule="auto"/>
        <w:rPr>
          <w:rFonts w:ascii="Arial" w:hAnsi="Arial" w:eastAsia="Arial" w:cs="Arial"/>
          <w:sz w:val="24"/>
          <w:szCs w:val="24"/>
        </w:rPr>
      </w:pPr>
      <w:r>
        <w:rPr>
          <w:rFonts w:ascii="Arial" w:hAnsi="Arial" w:eastAsia="Arial" w:cs="Arial"/>
          <w:sz w:val="24"/>
          <w:szCs w:val="24"/>
        </w:rPr>
      </w:r>
      <w:r/>
    </w:p>
    <w:p>
      <w:pPr>
        <w:pStyle w:val="853"/>
        <w:jc w:val="both"/>
        <w:spacing w:line="276" w:lineRule="auto"/>
        <w:rPr>
          <w:rFonts w:ascii="Arial" w:hAnsi="Arial" w:eastAsia="Arial" w:cs="Arial"/>
          <w:sz w:val="24"/>
          <w:szCs w:val="24"/>
          <w:u w:val="single"/>
        </w:rPr>
      </w:pPr>
      <w:r>
        <w:rPr>
          <w:rFonts w:ascii="Arial" w:hAnsi="Arial" w:eastAsia="Arial" w:cs="Arial"/>
          <w:sz w:val="24"/>
          <w:szCs w:val="24"/>
        </w:rPr>
        <w:t xml:space="preserve">LG=        </w:t>
      </w:r>
      <w:r>
        <w:rPr>
          <w:rFonts w:ascii="Arial" w:hAnsi="Arial" w:eastAsia="Arial" w:cs="Arial"/>
          <w:sz w:val="24"/>
          <w:szCs w:val="24"/>
          <w:u w:val="single"/>
        </w:rPr>
        <w:t xml:space="preserve">Ativo Circulante (+) Realizável a Longo Prazo</w:t>
      </w:r>
      <w:r/>
    </w:p>
    <w:p>
      <w:pPr>
        <w:pStyle w:val="853"/>
        <w:jc w:val="both"/>
        <w:spacing w:line="276" w:lineRule="auto"/>
        <w:rPr>
          <w:rFonts w:ascii="Arial" w:hAnsi="Arial" w:eastAsia="Arial" w:cs="Arial"/>
          <w:sz w:val="24"/>
          <w:szCs w:val="24"/>
        </w:rPr>
      </w:pPr>
      <w:r>
        <w:rPr>
          <w:rFonts w:ascii="Arial" w:hAnsi="Arial" w:eastAsia="Arial" w:cs="Arial"/>
          <w:sz w:val="24"/>
          <w:szCs w:val="24"/>
        </w:rPr>
        <w:t xml:space="preserve">               Passivo Circulante (+) Exigível a Longo Prazo</w:t>
      </w:r>
      <w:r/>
    </w:p>
    <w:p>
      <w:pPr>
        <w:pStyle w:val="853"/>
        <w:jc w:val="both"/>
        <w:spacing w:line="276" w:lineRule="auto"/>
        <w:rPr>
          <w:rFonts w:ascii="Arial" w:hAnsi="Arial" w:eastAsia="Arial" w:cs="Arial"/>
          <w:sz w:val="24"/>
          <w:szCs w:val="24"/>
        </w:rPr>
      </w:pPr>
      <w:r>
        <w:rPr>
          <w:rFonts w:ascii="Arial" w:hAnsi="Arial" w:eastAsia="Arial" w:cs="Arial"/>
          <w:sz w:val="24"/>
          <w:szCs w:val="24"/>
        </w:rPr>
      </w:r>
      <w:r/>
    </w:p>
    <w:p>
      <w:pPr>
        <w:pStyle w:val="853"/>
        <w:jc w:val="both"/>
        <w:spacing w:line="276" w:lineRule="auto"/>
        <w:rPr>
          <w:rFonts w:ascii="Arial" w:hAnsi="Arial" w:eastAsia="Arial" w:cs="Arial"/>
          <w:sz w:val="24"/>
          <w:szCs w:val="24"/>
          <w:u w:val="single"/>
        </w:rPr>
      </w:pPr>
      <w:r>
        <w:rPr>
          <w:rFonts w:ascii="Arial" w:hAnsi="Arial" w:eastAsia="Arial" w:cs="Arial"/>
          <w:sz w:val="24"/>
          <w:szCs w:val="24"/>
        </w:rPr>
        <w:t xml:space="preserve">SG  =</w:t>
      </w:r>
      <w:r>
        <w:rPr>
          <w:rFonts w:ascii="Arial" w:hAnsi="Arial" w:eastAsia="Arial" w:cs="Arial"/>
          <w:sz w:val="24"/>
          <w:szCs w:val="24"/>
        </w:rPr>
        <w:t xml:space="preserve">        </w:t>
      </w:r>
      <w:r>
        <w:rPr>
          <w:rFonts w:ascii="Arial" w:hAnsi="Arial" w:eastAsia="Arial" w:cs="Arial"/>
          <w:sz w:val="24"/>
          <w:szCs w:val="24"/>
          <w:u w:val="single"/>
        </w:rPr>
        <w:t xml:space="preserve">                         Ativo  Total                                </w:t>
      </w:r>
      <w:r>
        <w:rPr>
          <w:rFonts w:ascii="Arial" w:hAnsi="Arial" w:eastAsia="Arial" w:cs="Arial"/>
          <w:color w:val="ffffff"/>
          <w:sz w:val="24"/>
          <w:szCs w:val="24"/>
          <w:u w:val="single"/>
        </w:rPr>
        <w:t xml:space="preserve">.</w:t>
      </w:r>
      <w:r>
        <w:rPr>
          <w:rFonts w:ascii="Arial" w:hAnsi="Arial" w:eastAsia="Arial" w:cs="Arial"/>
          <w:sz w:val="24"/>
          <w:szCs w:val="24"/>
          <w:u w:val="single"/>
        </w:rPr>
        <w:t xml:space="preserve">       </w:t>
      </w:r>
      <w:r/>
    </w:p>
    <w:p>
      <w:pPr>
        <w:pStyle w:val="853"/>
        <w:jc w:val="both"/>
        <w:spacing w:line="276" w:lineRule="auto"/>
        <w:rPr>
          <w:rFonts w:ascii="Arial" w:hAnsi="Arial" w:eastAsia="Arial" w:cs="Arial"/>
          <w:sz w:val="24"/>
          <w:szCs w:val="24"/>
        </w:rPr>
      </w:pPr>
      <w:r>
        <w:rPr>
          <w:rFonts w:ascii="Arial" w:hAnsi="Arial" w:eastAsia="Arial" w:cs="Arial"/>
          <w:sz w:val="24"/>
          <w:szCs w:val="24"/>
        </w:rPr>
        <w:t xml:space="preserve">                  Passivo Circulante (+) Exigível a Longo Prazo</w:t>
      </w:r>
      <w:r/>
    </w:p>
    <w:p>
      <w:pPr>
        <w:pStyle w:val="853"/>
        <w:jc w:val="both"/>
        <w:spacing w:line="276" w:lineRule="auto"/>
        <w:rPr>
          <w:rFonts w:ascii="Arial" w:hAnsi="Arial" w:eastAsia="Arial" w:cs="Arial"/>
          <w:sz w:val="24"/>
          <w:szCs w:val="24"/>
        </w:rPr>
      </w:pPr>
      <w:r>
        <w:rPr>
          <w:rFonts w:ascii="Arial" w:hAnsi="Arial" w:eastAsia="Arial" w:cs="Arial"/>
          <w:sz w:val="24"/>
          <w:szCs w:val="24"/>
        </w:rPr>
      </w:r>
      <w:r/>
    </w:p>
    <w:p>
      <w:pPr>
        <w:pStyle w:val="853"/>
        <w:jc w:val="both"/>
        <w:spacing w:line="276" w:lineRule="auto"/>
        <w:rPr>
          <w:rFonts w:ascii="Arial" w:hAnsi="Arial" w:eastAsia="Arial" w:cs="Arial"/>
          <w:sz w:val="24"/>
          <w:szCs w:val="24"/>
        </w:rPr>
      </w:pPr>
      <w:r>
        <w:rPr>
          <w:rFonts w:ascii="Arial" w:hAnsi="Arial" w:eastAsia="Arial" w:cs="Arial"/>
          <w:sz w:val="24"/>
          <w:szCs w:val="24"/>
        </w:rPr>
        <w:t xml:space="preserve">Os índices calculados, obrigatoriamente, acompanharão as demonstrações contábeis, sendo consideradas habilitadas as empresas que apresentarem os seguintes resultados:</w:t>
      </w:r>
      <w:r/>
    </w:p>
    <w:p>
      <w:pPr>
        <w:pStyle w:val="853"/>
        <w:jc w:val="both"/>
        <w:spacing w:line="276" w:lineRule="auto"/>
        <w:rPr>
          <w:rFonts w:ascii="Arial" w:hAnsi="Arial" w:eastAsia="Arial" w:cs="Arial"/>
          <w:sz w:val="24"/>
          <w:szCs w:val="24"/>
        </w:rPr>
      </w:pPr>
      <w:r>
        <w:rPr>
          <w:rFonts w:ascii="Arial" w:hAnsi="Arial" w:eastAsia="Arial" w:cs="Arial"/>
          <w:sz w:val="24"/>
          <w:szCs w:val="24"/>
        </w:rPr>
      </w:r>
      <w:r/>
    </w:p>
    <w:p>
      <w:pPr>
        <w:pStyle w:val="853"/>
        <w:jc w:val="both"/>
        <w:spacing w:line="276" w:lineRule="auto"/>
        <w:rPr>
          <w:rFonts w:ascii="Arial" w:hAnsi="Arial" w:eastAsia="Arial" w:cs="Arial"/>
          <w:sz w:val="24"/>
          <w:szCs w:val="24"/>
        </w:rPr>
      </w:pPr>
      <w:r>
        <w:rPr>
          <w:rFonts w:ascii="Arial" w:hAnsi="Arial" w:eastAsia="Arial" w:cs="Arial"/>
          <w:sz w:val="24"/>
          <w:szCs w:val="24"/>
        </w:rPr>
        <w:t xml:space="preserve">Liquidez corrente</w:t>
      </w:r>
      <w:r>
        <w:rPr>
          <w:rFonts w:ascii="Arial" w:hAnsi="Arial" w:eastAsia="Arial" w:cs="Arial"/>
          <w:sz w:val="24"/>
          <w:szCs w:val="24"/>
        </w:rPr>
        <w:tab/>
        <w:t xml:space="preserve">índice maior ou </w:t>
      </w:r>
      <w:r>
        <w:rPr>
          <w:rFonts w:ascii="Arial" w:hAnsi="Arial" w:eastAsia="Arial" w:cs="Arial"/>
          <w:sz w:val="24"/>
          <w:szCs w:val="24"/>
        </w:rPr>
        <w:t xml:space="preserve">igual  a</w:t>
      </w:r>
      <w:r>
        <w:rPr>
          <w:rFonts w:ascii="Arial" w:hAnsi="Arial" w:eastAsia="Arial" w:cs="Arial"/>
          <w:sz w:val="24"/>
          <w:szCs w:val="24"/>
        </w:rPr>
        <w:t xml:space="preserve">  1,00</w:t>
      </w:r>
      <w:r/>
    </w:p>
    <w:p>
      <w:pPr>
        <w:pStyle w:val="853"/>
        <w:jc w:val="both"/>
        <w:spacing w:line="276" w:lineRule="auto"/>
        <w:rPr>
          <w:rFonts w:ascii="Arial" w:hAnsi="Arial" w:eastAsia="Arial" w:cs="Arial"/>
          <w:sz w:val="24"/>
          <w:szCs w:val="24"/>
        </w:rPr>
      </w:pPr>
      <w:r>
        <w:rPr>
          <w:rFonts w:ascii="Arial" w:hAnsi="Arial" w:eastAsia="Arial" w:cs="Arial"/>
          <w:sz w:val="24"/>
          <w:szCs w:val="24"/>
        </w:rPr>
        <w:t xml:space="preserve">Liquidez geral</w:t>
      </w:r>
      <w:r>
        <w:rPr>
          <w:rFonts w:ascii="Arial" w:hAnsi="Arial" w:eastAsia="Arial" w:cs="Arial"/>
          <w:sz w:val="24"/>
          <w:szCs w:val="24"/>
        </w:rPr>
        <w:tab/>
        <w:t xml:space="preserve">índice maior ou </w:t>
      </w:r>
      <w:r>
        <w:rPr>
          <w:rFonts w:ascii="Arial" w:hAnsi="Arial" w:eastAsia="Arial" w:cs="Arial"/>
          <w:sz w:val="24"/>
          <w:szCs w:val="24"/>
        </w:rPr>
        <w:t xml:space="preserve">igual  a</w:t>
      </w:r>
      <w:r>
        <w:rPr>
          <w:rFonts w:ascii="Arial" w:hAnsi="Arial" w:eastAsia="Arial" w:cs="Arial"/>
          <w:sz w:val="24"/>
          <w:szCs w:val="24"/>
        </w:rPr>
        <w:t xml:space="preserve">  1,00</w:t>
      </w:r>
      <w:r/>
    </w:p>
    <w:p>
      <w:pPr>
        <w:pStyle w:val="853"/>
        <w:jc w:val="both"/>
        <w:spacing w:line="276" w:lineRule="auto"/>
        <w:rPr>
          <w:rFonts w:ascii="Arial" w:hAnsi="Arial" w:eastAsia="Arial" w:cs="Arial"/>
          <w:sz w:val="24"/>
          <w:szCs w:val="24"/>
        </w:rPr>
      </w:pPr>
      <w:r>
        <w:rPr>
          <w:rFonts w:ascii="Arial" w:hAnsi="Arial" w:eastAsia="Arial" w:cs="Arial"/>
          <w:sz w:val="24"/>
          <w:szCs w:val="24"/>
        </w:rPr>
        <w:t xml:space="preserve">Solvência geral</w:t>
      </w:r>
      <w:r>
        <w:rPr>
          <w:rFonts w:ascii="Arial" w:hAnsi="Arial" w:eastAsia="Arial" w:cs="Arial"/>
          <w:sz w:val="24"/>
          <w:szCs w:val="24"/>
        </w:rPr>
        <w:tab/>
        <w:t xml:space="preserve">índice maior ou </w:t>
      </w:r>
      <w:r>
        <w:rPr>
          <w:rFonts w:ascii="Arial" w:hAnsi="Arial" w:eastAsia="Arial" w:cs="Arial"/>
          <w:sz w:val="24"/>
          <w:szCs w:val="24"/>
        </w:rPr>
        <w:t xml:space="preserve">igual  a</w:t>
      </w:r>
      <w:r>
        <w:rPr>
          <w:rFonts w:ascii="Arial" w:hAnsi="Arial" w:eastAsia="Arial" w:cs="Arial"/>
          <w:sz w:val="24"/>
          <w:szCs w:val="24"/>
        </w:rPr>
        <w:t xml:space="preserve">  1,00</w:t>
      </w:r>
      <w:r/>
    </w:p>
    <w:p>
      <w:pPr>
        <w:pStyle w:val="853"/>
        <w:jc w:val="both"/>
        <w:spacing w:line="276" w:lineRule="auto"/>
        <w:rPr>
          <w:rFonts w:ascii="Arial" w:hAnsi="Arial" w:eastAsia="Arial" w:cs="Arial"/>
          <w:sz w:val="24"/>
          <w:szCs w:val="24"/>
        </w:rPr>
      </w:pPr>
      <w:r>
        <w:rPr>
          <w:rFonts w:ascii="Arial" w:hAnsi="Arial" w:eastAsia="Arial" w:cs="Arial"/>
          <w:sz w:val="24"/>
          <w:szCs w:val="24"/>
        </w:rPr>
      </w:r>
      <w:r/>
    </w:p>
    <w:p>
      <w:pPr>
        <w:pStyle w:val="853"/>
        <w:jc w:val="both"/>
        <w:spacing w:line="276" w:lineRule="auto"/>
        <w:rPr>
          <w:rFonts w:ascii="Arial" w:hAnsi="Arial" w:eastAsia="Arial" w:cs="Arial"/>
          <w:b/>
          <w:sz w:val="24"/>
          <w:szCs w:val="24"/>
        </w:rPr>
      </w:pPr>
      <w:r>
        <w:rPr>
          <w:rFonts w:ascii="Arial" w:hAnsi="Arial" w:eastAsia="Arial" w:cs="Arial"/>
          <w:b/>
          <w:sz w:val="24"/>
          <w:szCs w:val="24"/>
        </w:rPr>
        <w:t xml:space="preserve">(local e data)</w:t>
      </w:r>
      <w:r/>
    </w:p>
    <w:p>
      <w:pPr>
        <w:pStyle w:val="853"/>
        <w:jc w:val="both"/>
        <w:spacing w:before="120" w:after="120" w:line="276" w:lineRule="auto"/>
        <w:rPr>
          <w:rFonts w:ascii="Arial" w:hAnsi="Arial" w:eastAsia="Arial" w:cs="Arial"/>
          <w:b/>
          <w:sz w:val="24"/>
          <w:szCs w:val="24"/>
        </w:rPr>
      </w:pPr>
      <w:r>
        <w:rPr>
          <w:rFonts w:ascii="Arial" w:hAnsi="Arial" w:eastAsia="Arial" w:cs="Arial"/>
          <w:b/>
          <w:sz w:val="24"/>
          <w:szCs w:val="24"/>
        </w:rPr>
        <w:t xml:space="preserve">(nome completo, </w:t>
      </w:r>
      <w:r>
        <w:rPr>
          <w:rFonts w:ascii="Arial" w:hAnsi="Arial" w:eastAsia="Arial" w:cs="Arial"/>
          <w:b/>
          <w:sz w:val="24"/>
          <w:szCs w:val="24"/>
        </w:rPr>
        <w:t xml:space="preserve">C.P.F</w:t>
      </w:r>
      <w:r>
        <w:rPr>
          <w:rFonts w:ascii="Arial" w:hAnsi="Arial" w:eastAsia="Arial" w:cs="Arial"/>
          <w:b/>
          <w:sz w:val="24"/>
          <w:szCs w:val="24"/>
        </w:rPr>
        <w:t xml:space="preserve">., cargo ou função e assinatura do representante legal)</w:t>
      </w:r>
      <w:r/>
    </w:p>
    <w:p>
      <w:pPr>
        <w:pStyle w:val="853"/>
        <w:jc w:val="center"/>
        <w:spacing w:before="120" w:after="120" w:line="276" w:lineRule="auto"/>
        <w:rPr>
          <w:rFonts w:ascii="Arial" w:hAnsi="Arial" w:cs="Arial"/>
          <w:sz w:val="24"/>
          <w:szCs w:val="24"/>
        </w:rPr>
      </w:pPr>
      <w:r>
        <w:rPr>
          <w:rFonts w:ascii="Arial" w:hAnsi="Arial" w:eastAsia="Arial" w:cs="Arial"/>
          <w:b/>
          <w:sz w:val="24"/>
          <w:szCs w:val="24"/>
        </w:rPr>
        <w:t xml:space="preserve">(</w:t>
      </w:r>
      <w:r>
        <w:rPr>
          <w:rFonts w:ascii="Arial" w:hAnsi="Arial" w:cs="Arial"/>
          <w:sz w:val="24"/>
          <w:szCs w:val="24"/>
        </w:rPr>
        <w:t xml:space="preserve">nome completo e </w:t>
      </w:r>
      <w:r>
        <w:rPr>
          <w:rFonts w:ascii="Arial" w:hAnsi="Arial" w:cs="Arial"/>
          <w:sz w:val="24"/>
          <w:szCs w:val="24"/>
        </w:rPr>
        <w:t xml:space="preserve">CRC</w:t>
      </w:r>
      <w:r>
        <w:rPr>
          <w:rFonts w:ascii="Arial" w:hAnsi="Arial" w:cs="Arial"/>
          <w:sz w:val="24"/>
          <w:szCs w:val="24"/>
        </w:rPr>
        <w:t xml:space="preserve"> do contador responsável)</w:t>
      </w:r>
      <w:bookmarkStart w:id="2" w:name="_fxx89wbbp9la"/>
      <w:r/>
      <w:bookmarkEnd w:id="2"/>
      <w:r/>
      <w:r/>
    </w:p>
    <w:p>
      <w:pPr>
        <w:pStyle w:val="853"/>
        <w:jc w:val="center"/>
        <w:spacing w:before="120" w:after="120" w:line="276" w:lineRule="auto"/>
        <w:rPr>
          <w:rFonts w:ascii="Arial" w:hAnsi="Arial" w:cs="Arial"/>
          <w:sz w:val="24"/>
          <w:szCs w:val="24"/>
        </w:rPr>
      </w:pPr>
      <w:r>
        <w:rPr>
          <w:rFonts w:ascii="Arial" w:hAnsi="Arial" w:cs="Arial"/>
          <w:sz w:val="24"/>
          <w:szCs w:val="24"/>
        </w:rPr>
      </w:r>
      <w:r/>
    </w:p>
    <w:p>
      <w:pPr>
        <w:pStyle w:val="853"/>
        <w:jc w:val="center"/>
        <w:spacing w:before="120" w:after="120" w:line="276" w:lineRule="auto"/>
        <w:rPr>
          <w:rFonts w:ascii="Arial" w:hAnsi="Arial" w:cs="Arial"/>
          <w:sz w:val="24"/>
          <w:szCs w:val="24"/>
        </w:rPr>
      </w:pPr>
      <w:r>
        <w:rPr>
          <w:rFonts w:ascii="Arial" w:hAnsi="Arial" w:cs="Arial"/>
          <w:sz w:val="24"/>
          <w:szCs w:val="24"/>
        </w:rPr>
      </w:r>
      <w:r/>
    </w:p>
    <w:p>
      <w:pPr>
        <w:pStyle w:val="853"/>
        <w:jc w:val="center"/>
        <w:spacing w:before="120" w:after="120" w:line="276" w:lineRule="auto"/>
        <w:rPr>
          <w:rFonts w:ascii="Arial" w:hAnsi="Arial" w:cs="Arial"/>
          <w:sz w:val="24"/>
          <w:szCs w:val="24"/>
        </w:rPr>
      </w:pPr>
      <w:r>
        <w:rPr>
          <w:rFonts w:ascii="Arial" w:hAnsi="Arial" w:cs="Arial"/>
          <w:sz w:val="24"/>
          <w:szCs w:val="24"/>
        </w:rPr>
      </w:r>
      <w:r/>
    </w:p>
    <w:p>
      <w:pPr>
        <w:pStyle w:val="853"/>
        <w:jc w:val="center"/>
        <w:spacing w:line="276" w:lineRule="auto"/>
        <w:rPr>
          <w:rFonts w:ascii="Arial" w:hAnsi="Arial" w:eastAsia="Arial" w:cs="Arial"/>
          <w:b/>
          <w:sz w:val="24"/>
          <w:szCs w:val="24"/>
          <w:u w:val="single"/>
        </w:rPr>
      </w:pPr>
      <w:r>
        <w:rPr>
          <w:rFonts w:ascii="Arial" w:hAnsi="Arial" w:eastAsia="Arial" w:cs="Arial"/>
          <w:b/>
          <w:sz w:val="24"/>
          <w:szCs w:val="24"/>
          <w:u w:val="single"/>
        </w:rPr>
        <w:t xml:space="preserve">ANEXO IV</w:t>
      </w:r>
      <w:r/>
    </w:p>
    <w:p>
      <w:pPr>
        <w:pStyle w:val="853"/>
        <w:jc w:val="center"/>
        <w:spacing w:line="276" w:lineRule="auto"/>
        <w:rPr>
          <w:rFonts w:ascii="Arial" w:hAnsi="Arial" w:eastAsia="Arial" w:cs="Arial"/>
          <w:sz w:val="24"/>
          <w:szCs w:val="24"/>
          <w:u w:val="single"/>
        </w:rPr>
      </w:pPr>
      <w:r>
        <w:rPr>
          <w:rFonts w:ascii="Arial" w:hAnsi="Arial" w:eastAsia="Arial" w:cs="Arial"/>
          <w:sz w:val="24"/>
          <w:szCs w:val="24"/>
          <w:u w:val="single"/>
        </w:rPr>
      </w:r>
      <w:r/>
    </w:p>
    <w:p>
      <w:pPr>
        <w:pStyle w:val="853"/>
        <w:jc w:val="center"/>
        <w:spacing w:line="276" w:lineRule="auto"/>
        <w:rPr>
          <w:rFonts w:ascii="Arial" w:hAnsi="Arial" w:eastAsia="Arial" w:cs="Arial"/>
          <w:b/>
          <w:sz w:val="24"/>
          <w:szCs w:val="24"/>
        </w:rPr>
      </w:pPr>
      <w:r>
        <w:rPr>
          <w:rFonts w:ascii="Arial" w:hAnsi="Arial" w:eastAsia="Arial" w:cs="Arial"/>
          <w:b/>
          <w:sz w:val="24"/>
          <w:szCs w:val="24"/>
        </w:rPr>
        <w:t xml:space="preserve">MINUTA DE CONTRATO</w:t>
      </w:r>
      <w:r/>
    </w:p>
    <w:p>
      <w:pPr>
        <w:pStyle w:val="853"/>
        <w:spacing w:line="276" w:lineRule="auto"/>
        <w:rPr>
          <w:rFonts w:ascii="Arial" w:hAnsi="Arial" w:eastAsia="Arial" w:cs="Arial"/>
          <w:sz w:val="24"/>
          <w:szCs w:val="24"/>
        </w:rPr>
      </w:pPr>
      <w:r>
        <w:rPr>
          <w:rFonts w:ascii="Arial" w:hAnsi="Arial" w:eastAsia="Arial" w:cs="Arial"/>
          <w:sz w:val="24"/>
          <w:szCs w:val="24"/>
        </w:rPr>
      </w:r>
      <w:r/>
    </w:p>
    <w:p>
      <w:pPr>
        <w:pStyle w:val="856"/>
        <w:contextualSpacing w:val="0"/>
        <w:ind w:left="2835" w:right="49"/>
        <w:jc w:val="both"/>
        <w:spacing w:line="276" w:lineRule="auto"/>
        <w:widowControl w:val="off"/>
        <w:tabs>
          <w:tab w:val="left" w:pos="284" w:leader="none"/>
        </w:tabs>
        <w:rPr>
          <w:rFonts w:ascii="Arial" w:hAnsi="Arial" w:eastAsia="Arial" w:cs="Arial"/>
          <w:sz w:val="24"/>
          <w:szCs w:val="24"/>
        </w:rPr>
      </w:pPr>
      <w:r/>
      <w:bookmarkStart w:id="3" w:name="_44y2ckw13u6g"/>
      <w:r/>
      <w:bookmarkEnd w:id="3"/>
      <w:r>
        <w:rPr>
          <w:rFonts w:ascii="Arial" w:hAnsi="Arial" w:eastAsia="Arial" w:cs="Arial"/>
          <w:sz w:val="24"/>
          <w:szCs w:val="24"/>
        </w:rPr>
        <w:t xml:space="preserve">CONTRATO que entre si firmam a PREFEITURA MUNICIPAL DE TERESÓPOLIS e a empresa</w:t>
      </w:r>
      <w:r>
        <w:rPr>
          <w:rFonts w:ascii="Arial" w:hAnsi="Arial" w:eastAsia="Arial" w:cs="Arial"/>
          <w:sz w:val="24"/>
          <w:szCs w:val="24"/>
        </w:rPr>
        <w:t xml:space="preserve"> ___________________, tendo por objeto o fornecimento pela empresa contratada, de ____________________, na forma abaixo:</w:t>
      </w:r>
      <w:r/>
    </w:p>
    <w:p>
      <w:pPr>
        <w:pStyle w:val="856"/>
        <w:contextualSpacing w:val="0"/>
        <w:ind w:left="0" w:right="49"/>
        <w:jc w:val="both"/>
        <w:spacing w:line="276" w:lineRule="auto"/>
        <w:widowControl w:val="off"/>
        <w:tabs>
          <w:tab w:val="left" w:pos="284" w:leader="none"/>
        </w:tabs>
        <w:rPr>
          <w:rFonts w:ascii="Arial" w:hAnsi="Arial" w:cs="Arial"/>
          <w:sz w:val="24"/>
          <w:szCs w:val="24"/>
        </w:rPr>
      </w:pPr>
      <w:r>
        <w:rPr>
          <w:rFonts w:ascii="Arial" w:hAnsi="Arial" w:eastAsia="Arial" w:cs="Arial"/>
          <w:sz w:val="24"/>
          <w:szCs w:val="24"/>
        </w:rPr>
        <w:t xml:space="preserve">A PREFEITURA MUNICIPAL DE TERESÓPOLIS, pessoa jurídica de direito público interno, CNPJ nº 29.138.369/0001-47, com sede administrativa na Avenida Feliciano Sodré, 675, Várzea, Teresópolis, R</w:t>
      </w:r>
      <w:r>
        <w:rPr>
          <w:rFonts w:ascii="Arial" w:hAnsi="Arial" w:eastAsia="Arial" w:cs="Arial"/>
          <w:sz w:val="24"/>
          <w:szCs w:val="24"/>
        </w:rPr>
        <w:t xml:space="preserve">J, doravante denominado “contratante”, neste ato representado pelo Sr. ________________, nacionalidade, estado civil, profissão, portador da Carteira de Identidade nº _____________ exp. pelo _____ e do CPF nº _________________, residente e domiciliado na R</w:t>
      </w:r>
      <w:r>
        <w:rPr>
          <w:rFonts w:ascii="Arial" w:hAnsi="Arial" w:eastAsia="Arial" w:cs="Arial"/>
          <w:sz w:val="24"/>
          <w:szCs w:val="24"/>
        </w:rPr>
        <w:t xml:space="preserve">ua _____________, consoante disposto no Decreto Municipal nº 3.163 de 19 de outubro de 2004, e de outro lado, como “Contratada”, a empresa ____________________, inscrita no CNPJ/MF sob o nº, com sede na ___________________, neste ato representada pelo Sr. </w:t>
      </w:r>
      <w:r>
        <w:rPr>
          <w:rFonts w:ascii="Arial" w:hAnsi="Arial" w:eastAsia="Arial" w:cs="Arial"/>
          <w:i/>
          <w:sz w:val="24"/>
          <w:szCs w:val="24"/>
        </w:rPr>
        <w:t xml:space="preserve">________________</w:t>
      </w:r>
      <w:r>
        <w:rPr>
          <w:rFonts w:ascii="Arial" w:hAnsi="Arial" w:eastAsia="Arial" w:cs="Arial"/>
          <w:sz w:val="24"/>
          <w:szCs w:val="24"/>
        </w:rPr>
        <w:t xml:space="preserve">, nacionalidade, estado civil, profissão, portador da Carteira de Identidade nº ______________ exp. pel</w:t>
      </w:r>
      <w:r>
        <w:rPr>
          <w:rFonts w:ascii="Arial" w:hAnsi="Arial" w:eastAsia="Arial" w:cs="Arial"/>
          <w:sz w:val="24"/>
          <w:szCs w:val="24"/>
        </w:rPr>
        <w:t xml:space="preserve">o _____ e do CPF nº ____________, residente e domiciliada na Rua _________________, firmam o presente contrato de conformidade com o Processo Administrativo nº. _________, que se regerá pela Lei 8.666/93 e pelas cláusulas e condições seguintes: PRIMEIRA: D</w:t>
      </w:r>
      <w:r>
        <w:rPr>
          <w:rFonts w:ascii="Arial" w:hAnsi="Arial" w:eastAsia="Arial" w:cs="Arial"/>
          <w:sz w:val="24"/>
          <w:szCs w:val="24"/>
        </w:rPr>
        <w:t xml:space="preserve">O OBJETO: 1.1. - O presente tem por objeto o fornecimento pela empresa contratada, de _____________________; 1.2. – Para cumprimento do objeto descrito no item 1.1, a empresa contratada se obriga ao fornecimento de _____________________________; SEGUNDA:  </w:t>
      </w:r>
      <w:r>
        <w:rPr>
          <w:rFonts w:ascii="Arial" w:hAnsi="Arial" w:eastAsia="Arial" w:cs="Arial"/>
          <w:sz w:val="24"/>
          <w:szCs w:val="24"/>
        </w:rPr>
        <w:t xml:space="preserve">DO PREÇO E CONDIÇÕES DE PAGAMENTO</w:t>
      </w:r>
      <w:r>
        <w:rPr>
          <w:rFonts w:ascii="Arial" w:hAnsi="Arial" w:eastAsia="Arial" w:cs="Arial"/>
          <w:sz w:val="24"/>
          <w:szCs w:val="24"/>
        </w:rPr>
        <w:t xml:space="preserve">: 2.1. O valor unitário de será de R$ ______ (______________); 2.1.1. - O valor (POR ITEM) do presente é de R$ ___ (_______________)</w:t>
      </w:r>
      <w:r>
        <w:rPr>
          <w:rFonts w:ascii="Arial" w:hAnsi="Arial" w:eastAsia="Arial" w:cs="Arial"/>
          <w:sz w:val="24"/>
          <w:szCs w:val="24"/>
        </w:rPr>
        <w:t xml:space="preserve"> referentes à ____________________; 2.1.2. Os materiais / serviços serão entregues nos locais determinados pela Secretaria Municipal de _______, conforme solicitação; 2.2. - A Secretaria Municipal de ______________, atestará o recebimento dos _____________</w:t>
      </w:r>
      <w:r>
        <w:rPr>
          <w:rFonts w:ascii="Arial" w:hAnsi="Arial" w:eastAsia="Arial" w:cs="Arial"/>
          <w:sz w:val="24"/>
          <w:szCs w:val="24"/>
        </w:rPr>
        <w:t xml:space="preserve">_; 2.3. - O pagamento das notas fiscais, devidamente atestadas pela Secretaria Municipal de _______________, será efetuado 30 (trinta) dias após o fornecimento do material, mediante requerimento em processo de pagamento, na forma digital, através do link: </w:t>
      </w:r>
      <w:hyperlink r:id="rId24" w:tooltip="https://teresopolis.1doc.com.br/b.php?pg=wp/wp&amp;itd=5" w:history="1">
        <w:r>
          <w:rPr>
            <w:rStyle w:val="854"/>
            <w:rFonts w:ascii="Arial" w:hAnsi="Arial" w:cs="Arial"/>
            <w:sz w:val="24"/>
            <w:szCs w:val="24"/>
            <w:u w:val="none"/>
          </w:rPr>
          <w:t xml:space="preserve">https://teresopolis.1doc.com.br/b.php?pg=wp/wp&amp;itd=5</w:t>
        </w:r>
      </w:hyperlink>
      <w:r>
        <w:rPr>
          <w:rFonts w:ascii="Arial" w:hAnsi="Arial" w:cs="Arial"/>
          <w:sz w:val="24"/>
          <w:szCs w:val="24"/>
        </w:rPr>
        <w:t xml:space="preserve">,</w:t>
      </w:r>
      <w:r>
        <w:rPr>
          <w:rFonts w:ascii="Arial" w:hAnsi="Arial" w:eastAsia="Arial" w:cs="Arial"/>
          <w:sz w:val="24"/>
          <w:szCs w:val="24"/>
        </w:rPr>
        <w:t xml:space="preserve"> devendo o Licitante apresentar, a cópia do contrato, da nota de empenho e da nota fiscal. 2.4. Ocorrendo atraso no pagamento dentro do prazo estabelecido, o valor será acrescido de 1% (um por cento) de juros de mora ao mês “pro rata tempore”</w:t>
      </w:r>
      <w:r>
        <w:rPr>
          <w:rFonts w:ascii="Arial" w:hAnsi="Arial" w:eastAsia="Arial" w:cs="Arial"/>
          <w:sz w:val="24"/>
          <w:szCs w:val="24"/>
        </w:rPr>
        <w:t xml:space="preserve">, bem como, a título de compensação financeira, de 1% (um por cento) ao mês, pro rata dia. 2.5. Ocorrendo antecipação no pagamento dentro do prazo estabelecido, a Prefeitura Municipal de Teresópolis, fará jus a um desconto na razão de 1% (um por cento) ao </w:t>
      </w:r>
      <w:r>
        <w:rPr>
          <w:rFonts w:ascii="Arial" w:hAnsi="Arial" w:eastAsia="Arial" w:cs="Arial"/>
          <w:sz w:val="24"/>
          <w:szCs w:val="24"/>
        </w:rPr>
        <w:t xml:space="preserve">mês, pro rata dia. 2.6. Os preços inicialmente contratados serão irreajustáveis, conforme Lei Federal nº 8.880 de 24 de </w:t>
      </w:r>
      <w:r>
        <w:rPr>
          <w:rFonts w:ascii="Arial" w:hAnsi="Arial" w:eastAsia="Arial" w:cs="Arial"/>
          <w:sz w:val="24"/>
          <w:szCs w:val="24"/>
        </w:rPr>
        <w:t xml:space="preserve">março</w:t>
      </w:r>
      <w:r>
        <w:rPr>
          <w:rFonts w:ascii="Arial" w:hAnsi="Arial" w:eastAsia="Arial" w:cs="Arial"/>
          <w:sz w:val="24"/>
          <w:szCs w:val="24"/>
        </w:rPr>
        <w:t xml:space="preserve"> de 1994, salvo se, ao contrário, Lei </w:t>
      </w:r>
      <w:r>
        <w:rPr>
          <w:rFonts w:ascii="Arial" w:hAnsi="Arial" w:eastAsia="Arial" w:cs="Arial"/>
          <w:sz w:val="24"/>
          <w:szCs w:val="24"/>
        </w:rPr>
        <w:t xml:space="preserve">Federal estabelecer. TERCEIRA: DO FUNDAMENTO – O presente Contrato é oriundo do procedimento licitatório denominado PREGÃO Nº __________, regido pela Lei Federal nº. 10.520/02, aplicando-se subsidiariamente a Lei Federal nº 8.666/93, alterada e consolidada</w:t>
      </w:r>
      <w:r>
        <w:rPr>
          <w:rFonts w:ascii="Arial" w:hAnsi="Arial" w:eastAsia="Arial" w:cs="Arial"/>
          <w:sz w:val="24"/>
          <w:szCs w:val="24"/>
        </w:rPr>
        <w:t xml:space="preserve"> pela Lei Federal nº. 8.883/94 e demais legislações Municipais aplicáveis à espécie.  QUARTA: DOS RECURSOS FINANCEIROS E ORÇAMENTÁRIOS - As despesas decorrentes do presente instrumento correrão por conta das seguintes Dotações Orçamentárias: Unidade: _____</w:t>
      </w:r>
      <w:r>
        <w:rPr>
          <w:rFonts w:ascii="Arial" w:hAnsi="Arial" w:eastAsia="Arial" w:cs="Arial"/>
          <w:sz w:val="24"/>
          <w:szCs w:val="24"/>
        </w:rPr>
        <w:t xml:space="preserve">__________– Funcional: ______________– Projeto/Atividade: ________________ – Elemento: ___________________ – Cód. Detalham.: __________________ - Código reduzido: _______ - Nota de Empenho nº. ___________, emitida em ___________; QUINTA: DO PRAZO - 5.1. O </w:t>
      </w:r>
      <w:r>
        <w:rPr>
          <w:rFonts w:ascii="Arial" w:hAnsi="Arial" w:eastAsia="Arial" w:cs="Arial"/>
          <w:sz w:val="24"/>
          <w:szCs w:val="24"/>
        </w:rPr>
        <w:t xml:space="preserve">presente contrato iniciar-se-á a partir da data de sua assinatura e terá vigência até o dia _______________. 5.2. Havendo necessidade e com pedido devidamente justificado nos autos, os prazos de início das etapas de execução, de conclusão e de entrega do o</w:t>
      </w:r>
      <w:r>
        <w:rPr>
          <w:rFonts w:ascii="Arial" w:hAnsi="Arial" w:eastAsia="Arial" w:cs="Arial"/>
          <w:sz w:val="24"/>
          <w:szCs w:val="24"/>
        </w:rPr>
        <w:t xml:space="preserve">bjeto do presente poderão ser prorrogados na forma do Art. 57 seus incisos e parágrafos da Lei Federal nº 8.666/93 e suas alterações posteriores. SEXTA: DAS GARANTIAS - 6.1.- Como garantia para o bom e fiel cumprimento do Contrato, a Contratada prestará ga</w:t>
      </w:r>
      <w:r>
        <w:rPr>
          <w:rFonts w:ascii="Arial" w:hAnsi="Arial" w:eastAsia="Arial" w:cs="Arial"/>
          <w:sz w:val="24"/>
          <w:szCs w:val="24"/>
        </w:rPr>
        <w:t xml:space="preserve">rantia, dentre aquelas previstas no art. 56 da Lei Federal nº 8.666/1993, na proporção de 5% (cinco por cento) sobre o valor total do Contrato; 6.2.- A importância a que se refere o item anterior será liberada e percebida pela Contratada em uma única parce</w:t>
      </w:r>
      <w:r>
        <w:rPr>
          <w:rFonts w:ascii="Arial" w:hAnsi="Arial" w:eastAsia="Arial" w:cs="Arial"/>
          <w:sz w:val="24"/>
          <w:szCs w:val="24"/>
        </w:rPr>
        <w:t xml:space="preserve">la, após o recebimento definitivo do objeto contratual a ser formalizado pela Secretaria responsável por sua fiscalização, conforme determina a Lei Federal 8.666/93 e suas alterações.; 6.3.- A importância a que se refere o item anterior será liberada e per</w:t>
      </w:r>
      <w:r>
        <w:rPr>
          <w:rFonts w:ascii="Arial" w:hAnsi="Arial" w:eastAsia="Arial" w:cs="Arial"/>
          <w:sz w:val="24"/>
          <w:szCs w:val="24"/>
        </w:rPr>
        <w:t xml:space="preserve">cebida pela Contratada em uma única parcela, após o recebimento definitivo do objeto contratual a ser formalizado pela Secretaria responsável por sua fiscalização, conforme determina a Lei Federal 8.666/93 e suas alterações. SÉTIMA: DAS PENALIDADES: 7. 1. </w:t>
      </w:r>
      <w:r>
        <w:rPr>
          <w:rFonts w:ascii="Arial" w:hAnsi="Arial" w:cs="Arial"/>
          <w:sz w:val="24"/>
          <w:szCs w:val="24"/>
        </w:rPr>
        <w:t xml:space="preserve">Comete infração administrativa, a Contratada</w:t>
      </w:r>
      <w:r>
        <w:rPr>
          <w:rFonts w:ascii="Arial" w:hAnsi="Arial" w:cs="Arial"/>
          <w:spacing w:val="-9"/>
          <w:sz w:val="24"/>
          <w:szCs w:val="24"/>
        </w:rPr>
        <w:t xml:space="preserve"> </w:t>
      </w:r>
      <w:r>
        <w:rPr>
          <w:rFonts w:ascii="Arial" w:hAnsi="Arial" w:cs="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 7.1.2. Ensejar o retardamento da execução do</w:t>
      </w:r>
      <w:r>
        <w:rPr>
          <w:rFonts w:ascii="Arial" w:hAnsi="Arial" w:cs="Arial"/>
          <w:spacing w:val="-6"/>
          <w:sz w:val="24"/>
          <w:szCs w:val="24"/>
        </w:rPr>
        <w:t xml:space="preserve"> </w:t>
      </w:r>
      <w:r>
        <w:rPr>
          <w:rFonts w:ascii="Arial" w:hAnsi="Arial" w:cs="Arial"/>
          <w:sz w:val="24"/>
          <w:szCs w:val="24"/>
        </w:rPr>
        <w:t xml:space="preserve">objeto. 7.1.3. Falhar ou fraudar na execução do</w:t>
      </w:r>
      <w:r>
        <w:rPr>
          <w:rFonts w:ascii="Arial" w:hAnsi="Arial" w:cs="Arial"/>
          <w:spacing w:val="-1"/>
          <w:sz w:val="24"/>
          <w:szCs w:val="24"/>
        </w:rPr>
        <w:t xml:space="preserve"> </w:t>
      </w:r>
      <w:r>
        <w:rPr>
          <w:rFonts w:ascii="Arial" w:hAnsi="Arial" w:cs="Arial"/>
          <w:sz w:val="24"/>
          <w:szCs w:val="24"/>
        </w:rPr>
        <w:t xml:space="preserve">contrato. 7.1.4. Comportar-se de modo</w:t>
      </w:r>
      <w:r>
        <w:rPr>
          <w:rFonts w:ascii="Arial" w:hAnsi="Arial" w:cs="Arial"/>
          <w:spacing w:val="-6"/>
          <w:sz w:val="24"/>
          <w:szCs w:val="24"/>
        </w:rPr>
        <w:t xml:space="preserve"> </w:t>
      </w:r>
      <w:r>
        <w:rPr>
          <w:rFonts w:ascii="Arial" w:hAnsi="Arial" w:cs="Arial"/>
          <w:sz w:val="24"/>
          <w:szCs w:val="24"/>
        </w:rPr>
        <w:t xml:space="preserve">inidôneo. 7.1.5. Cometer fraude</w:t>
      </w:r>
      <w:r>
        <w:rPr>
          <w:rFonts w:ascii="Arial" w:hAnsi="Arial" w:cs="Arial"/>
          <w:spacing w:val="-4"/>
          <w:sz w:val="24"/>
          <w:szCs w:val="24"/>
        </w:rPr>
        <w:t xml:space="preserve"> </w:t>
      </w:r>
      <w:r>
        <w:rPr>
          <w:rFonts w:ascii="Arial" w:hAnsi="Arial" w:cs="Arial"/>
          <w:sz w:val="24"/>
          <w:szCs w:val="24"/>
        </w:rPr>
        <w:t xml:space="preserve">fiscal. 7.1.6. Deixar de apresentar amostras, quando solicitadas. 7.1.7. Deixar de entregar ou apr</w:t>
      </w:r>
      <w:r>
        <w:rPr>
          <w:rFonts w:ascii="Arial" w:hAnsi="Arial" w:cs="Arial"/>
          <w:sz w:val="24"/>
          <w:szCs w:val="24"/>
        </w:rPr>
        <w:t xml:space="preserve">esentar documentação falsa exigida para o certame. 7.2. O licitante/adjudicatário que cometer qualquer das infrações discriminadas nos subitens anteriores ficará sujeito, sem prejuízo da responsabilidade civil e criminal, às seguintes sanções: 7.2.1. 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0,5</w:t>
      </w:r>
      <w:r>
        <w:rPr>
          <w:rFonts w:ascii="Arial" w:hAnsi="Arial" w:cs="Arial"/>
          <w:sz w:val="24"/>
          <w:szCs w:val="24"/>
        </w:rPr>
        <w:t xml:space="preserve">% (meio por cento) calculada sobre a parte não cumpr</w:t>
      </w:r>
      <w:r>
        <w:rPr>
          <w:rFonts w:ascii="Arial" w:hAnsi="Arial" w:cs="Arial"/>
          <w:sz w:val="24"/>
          <w:szCs w:val="24"/>
        </w:rPr>
        <w:t xml:space="preserve">ida do contrato, até o limite de 30 (trinta) dias, na dependência da gravidade do dano, tudo de acordo com a decisão da autoridade competente. 7.2.2. Multa compensatória de 10% (dez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 7.2.2.1. Em caso de inexecução parcial, a multa compensatória, no mesmo percentual do subitem acima, será aplicada de forma </w:t>
      </w:r>
      <w:r>
        <w:rPr>
          <w:rFonts w:ascii="Arial" w:hAnsi="Arial" w:cs="Arial"/>
          <w:sz w:val="24"/>
          <w:szCs w:val="24"/>
        </w:rPr>
        <w:t xml:space="preserve">proporcional à obrigação</w:t>
      </w:r>
      <w:r>
        <w:rPr>
          <w:rFonts w:ascii="Arial" w:hAnsi="Arial" w:cs="Arial"/>
          <w:spacing w:val="-5"/>
          <w:sz w:val="24"/>
          <w:szCs w:val="24"/>
        </w:rPr>
        <w:t xml:space="preserve"> </w:t>
      </w:r>
      <w:r>
        <w:rPr>
          <w:rFonts w:ascii="Arial" w:hAnsi="Arial" w:cs="Arial"/>
          <w:sz w:val="24"/>
          <w:szCs w:val="24"/>
        </w:rPr>
        <w:t xml:space="preserve">inadimplida. 7.2.3. Multa de 0,01%, calculada sobre o valor da proposta apresentada no certame pelo licitante, caso este não apresente amostras, quando solicitadas.</w:t>
      </w:r>
      <w:r>
        <w:rPr>
          <w:rFonts w:ascii="Arial" w:hAnsi="Arial" w:cs="Arial"/>
          <w:b/>
          <w:sz w:val="24"/>
          <w:szCs w:val="24"/>
        </w:rPr>
        <w:t xml:space="preserve"> </w:t>
      </w:r>
      <w:r>
        <w:rPr>
          <w:rFonts w:ascii="Arial" w:hAnsi="Arial" w:cs="Arial"/>
          <w:sz w:val="24"/>
          <w:szCs w:val="24"/>
        </w:rPr>
        <w:t xml:space="preserve">7.2.4.</w:t>
      </w:r>
      <w:r>
        <w:rPr>
          <w:rFonts w:ascii="Arial" w:hAnsi="Arial" w:cs="Arial"/>
          <w:b/>
          <w:sz w:val="24"/>
          <w:szCs w:val="24"/>
        </w:rPr>
        <w:t xml:space="preserve"> </w:t>
      </w:r>
      <w:r>
        <w:rPr>
          <w:rFonts w:ascii="Arial" w:hAnsi="Arial" w:cs="Arial"/>
          <w:sz w:val="24"/>
          <w:szCs w:val="24"/>
        </w:rPr>
        <w:t xml:space="preserve">Impedimento de licitar e contratar com órgãos e entidades da União com o consequente descredenciamento no </w:t>
      </w:r>
      <w:r>
        <w:rPr>
          <w:rFonts w:ascii="Arial" w:hAnsi="Arial" w:cs="Arial"/>
          <w:sz w:val="24"/>
          <w:szCs w:val="24"/>
        </w:rPr>
        <w:t xml:space="preserve">SICAF</w:t>
      </w:r>
      <w:r>
        <w:rPr>
          <w:rFonts w:ascii="Arial" w:hAnsi="Arial" w:cs="Arial"/>
          <w:sz w:val="24"/>
          <w:szCs w:val="24"/>
        </w:rPr>
        <w:t xml:space="preserve"> pelo prazo de até cinco</w:t>
      </w:r>
      <w:r>
        <w:rPr>
          <w:rFonts w:ascii="Arial" w:hAnsi="Arial" w:cs="Arial"/>
          <w:spacing w:val="-5"/>
          <w:sz w:val="24"/>
          <w:szCs w:val="24"/>
        </w:rPr>
        <w:t xml:space="preserve"> </w:t>
      </w:r>
      <w:r>
        <w:rPr>
          <w:rFonts w:ascii="Arial" w:hAnsi="Arial" w:cs="Arial"/>
          <w:sz w:val="24"/>
          <w:szCs w:val="24"/>
        </w:rPr>
        <w:t xml:space="preserve">anos. 7.3. </w:t>
      </w:r>
      <w:r>
        <w:rPr>
          <w:rFonts w:ascii="Arial" w:hAnsi="Arial" w:cs="Arial"/>
          <w:sz w:val="24"/>
          <w:szCs w:val="20"/>
          <w:shd w:val="clear" w:color="auto" w:fill="ffffff"/>
        </w:rPr>
        <w:t xml:space="preserve">A penalidade de multa pode ser aplicada cumulativamente com as demais sanções. 7.4. </w:t>
      </w:r>
      <w:r>
        <w:rPr>
          <w:rFonts w:ascii="Arial" w:hAnsi="Arial" w:cs="Arial"/>
          <w:sz w:val="24"/>
          <w:szCs w:val="24"/>
        </w:rPr>
        <w:t xml:space="preserve">A aplicação de qualquer das penalidades </w:t>
      </w:r>
      <w:r>
        <w:rPr>
          <w:rFonts w:ascii="Arial" w:hAnsi="Arial" w:cs="Arial"/>
          <w:sz w:val="24"/>
          <w:szCs w:val="24"/>
        </w:rPr>
        <w:t xml:space="preserve">previstas realizar-se-á em processo administrativo que assegurará o contraditório e a ampla defesa à Contratada, observando-se a forma prevista no edital e o procedimento previsto na Lei nº 8.666, de 1993, e subsidiariamente a Lei nº 9.784, de 1999. 7.5. 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 7.</w:t>
      </w:r>
      <w:r>
        <w:rPr>
          <w:rFonts w:ascii="Arial" w:hAnsi="Arial" w:cs="Arial"/>
          <w:sz w:val="24"/>
          <w:szCs w:val="24"/>
        </w:rPr>
        <w:t xml:space="preserve">6. As</w:t>
      </w:r>
      <w:r>
        <w:rPr>
          <w:rFonts w:ascii="Arial" w:hAnsi="Arial" w:cs="Arial"/>
          <w:sz w:val="24"/>
          <w:szCs w:val="24"/>
        </w:rPr>
        <w:t xml:space="preserve">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rPr>
          <w:rFonts w:ascii="Arial" w:hAnsi="Arial" w:cs="Arial"/>
          <w:sz w:val="24"/>
          <w:szCs w:val="24"/>
        </w:rPr>
        <w:t xml:space="preserve">. 7.7. </w:t>
      </w:r>
      <w:r>
        <w:rPr>
          <w:rFonts w:ascii="Arial" w:hAnsi="Arial" w:cs="Arial"/>
          <w:sz w:val="24"/>
          <w:szCs w:val="24"/>
          <w:shd w:val="clear" w:color="auto" w:fill="ffffff"/>
        </w:rPr>
        <w:t xml:space="preserve">As sanções por atos praticados no decorrer da contratação estão previstas no Termo de Referência. </w:t>
      </w:r>
      <w:r>
        <w:rPr>
          <w:rFonts w:ascii="Arial" w:hAnsi="Arial" w:eastAsia="Arial" w:cs="Arial"/>
          <w:sz w:val="24"/>
          <w:szCs w:val="24"/>
        </w:rPr>
        <w:t xml:space="preserve">OITAVA: DA RESCISÃO- Constituem motivos para a rescisão do presente contrato: 8.1. - O não cumprimento de cláusulas contratuais, especificações, projetos ou prazos, ou o seu cumprimento irregular; 8.2.- A lentidão do </w:t>
      </w:r>
      <w:r>
        <w:rPr>
          <w:rFonts w:ascii="Arial" w:hAnsi="Arial" w:eastAsia="Arial" w:cs="Arial"/>
          <w:sz w:val="24"/>
          <w:szCs w:val="24"/>
        </w:rPr>
        <w:t xml:space="preserve">seu cumprimento</w:t>
      </w:r>
      <w:r>
        <w:rPr>
          <w:rFonts w:ascii="Arial" w:hAnsi="Arial" w:eastAsia="Arial" w:cs="Arial"/>
          <w:sz w:val="24"/>
          <w:szCs w:val="24"/>
        </w:rPr>
        <w:t xml:space="preserve"> levando a Administração a comprovar a impossibilidade da conclusão do objeto contratual nos prazos estipulados; 8.3- O atraso injustificado no início da execução do objeto contratua</w:t>
      </w:r>
      <w:r>
        <w:rPr>
          <w:rFonts w:ascii="Arial" w:hAnsi="Arial" w:eastAsia="Arial" w:cs="Arial"/>
          <w:sz w:val="24"/>
          <w:szCs w:val="24"/>
        </w:rPr>
        <w:t xml:space="preserve">l; 8.4. - A paralisação do fornecimento sem justa causa e prévia comunicação à Administração; 8.5.- A subcontratação total ou parcial do objeto contratual, a associação da contratada com outrem, sua cessão ou transferência, total ou parcial, bem como sua f</w:t>
      </w:r>
      <w:r>
        <w:rPr>
          <w:rFonts w:ascii="Arial" w:hAnsi="Arial" w:eastAsia="Arial" w:cs="Arial"/>
          <w:sz w:val="24"/>
          <w:szCs w:val="24"/>
        </w:rPr>
        <w:t xml:space="preserve">usão, cisão ou incorporação; 8.6- O desatendimento das determinações regulares da autoridade designada para acompanhar e fiscalizar sua execução, assim como as de seus superiores; 8.7- O cometimento reiterado de faltas na sua execução, anotadas na forma do</w:t>
      </w:r>
      <w:r>
        <w:rPr>
          <w:rFonts w:ascii="Arial" w:hAnsi="Arial" w:eastAsia="Arial" w:cs="Arial"/>
          <w:sz w:val="24"/>
          <w:szCs w:val="24"/>
        </w:rPr>
        <w:t xml:space="preserve"> § 1º do art. 67 da lei 8666/93; 8.8 - A decretação de falência ou a instauração de insolvência civil; 8.9 - A dissolução da sociedade; 8.10- A alteração social ou a modificação da finalidade ou da estrutura da empresa, que prejudique a execução do contrat</w:t>
      </w:r>
      <w:r>
        <w:rPr>
          <w:rFonts w:ascii="Arial" w:hAnsi="Arial" w:eastAsia="Arial" w:cs="Arial"/>
          <w:sz w:val="24"/>
          <w:szCs w:val="24"/>
        </w:rPr>
        <w:t xml:space="preserve">o; 8.11- Razões de interesse  público, de  alta  relevância  e amplo conhecimento, justificadas e determinadas  pelo  Prefeito e exaradas no Processo Administrativo a que se refere o contrato; 8.12- A supressão, por parte da administração, de serviços, aca</w:t>
      </w:r>
      <w:r>
        <w:rPr>
          <w:rFonts w:ascii="Arial" w:hAnsi="Arial" w:eastAsia="Arial" w:cs="Arial"/>
          <w:sz w:val="24"/>
          <w:szCs w:val="24"/>
        </w:rPr>
        <w:t xml:space="preserve">rretando modificação do valor inicial do contrato, além do limite permitido no § 1º do Art. 65 da Lei 8666/93; 8.13- A suspensão de sua execução, por ordem escrita do Contratante, por prazo superior a 120  (cento e vinte) dias, salvo em caso de calamidade </w:t>
      </w:r>
      <w:r>
        <w:rPr>
          <w:rFonts w:ascii="Arial" w:hAnsi="Arial" w:eastAsia="Arial" w:cs="Arial"/>
          <w:sz w:val="24"/>
          <w:szCs w:val="24"/>
        </w:rPr>
        <w:t xml:space="preserve">pública, grave perturbação da  ordem  interna  ou  guerra,  ou  ainda  por repetidas suspensões que totalizem o mesmo prazo, independentemente do pagamento obrigatório de indenizações pelas sucessivas e contratualmente imprevistas desmobilizações e mobiliz</w:t>
      </w:r>
      <w:r>
        <w:rPr>
          <w:rFonts w:ascii="Arial" w:hAnsi="Arial" w:eastAsia="Arial" w:cs="Arial"/>
          <w:sz w:val="24"/>
          <w:szCs w:val="24"/>
        </w:rPr>
        <w:t xml:space="preserve">ações e outras previstas, assegurado à Contratada, nesse caso, o direito de optar pela suspensão do cumprimento das obrigações assumidas, até que seja normalizada a situação; 8.14 - o atraso superior a 90 (noventa) dias do pagamento devido pelo Contratante</w:t>
      </w:r>
      <w:r>
        <w:rPr>
          <w:rFonts w:ascii="Arial" w:hAnsi="Arial" w:eastAsia="Arial" w:cs="Arial"/>
          <w:sz w:val="24"/>
          <w:szCs w:val="24"/>
        </w:rPr>
        <w:t xml:space="preserve">, decorrente da execução pela Contratada, do presente Instrumento, salvo em caso de calamidade pública, grave perturbação da ordem interna ou guerra, assegurado à Contratada o direito de optar pela suspensão do cumprimento de suas obrigações, até que seja </w:t>
      </w:r>
      <w:r>
        <w:rPr>
          <w:rFonts w:ascii="Arial" w:hAnsi="Arial" w:eastAsia="Arial" w:cs="Arial"/>
          <w:sz w:val="24"/>
          <w:szCs w:val="24"/>
        </w:rPr>
        <w:t xml:space="preserve">normalizada a situação; 8.15- A não liberação, por parte do Contratante, de área, local ou objeto para a execução do serviço ou forn</w:t>
      </w:r>
      <w:r>
        <w:rPr>
          <w:rFonts w:ascii="Arial" w:hAnsi="Arial" w:eastAsia="Arial" w:cs="Arial"/>
          <w:sz w:val="24"/>
          <w:szCs w:val="24"/>
        </w:rPr>
        <w:t xml:space="preserve">ecimento, nos prazos contratuais; 8.16 - A ocorrência de caso fortuito ou força-maior, regularmente comprovada, impeditiva da execução do contrato; PARÁGRAFO ÚNICO: Os casos de rescisão contratual serão formalmente motivados nos autos do Processo, assegura</w:t>
      </w:r>
      <w:r>
        <w:rPr>
          <w:rFonts w:ascii="Arial" w:hAnsi="Arial" w:eastAsia="Arial" w:cs="Arial"/>
          <w:sz w:val="24"/>
          <w:szCs w:val="24"/>
        </w:rPr>
        <w:t xml:space="preserve">do à Contratada o Direito ao contraditório e a ampla defesa; NONA: DOS DIREITOS DA ADMINISTRAÇÃO: Em caso de rescisão contratual é assegurado à Administração Municipal os seguintes direitos: 9.1. - Execução da garantia contratual, para ressarcimento da Adm</w:t>
      </w:r>
      <w:r>
        <w:rPr>
          <w:rFonts w:ascii="Arial" w:hAnsi="Arial" w:eastAsia="Arial" w:cs="Arial"/>
          <w:sz w:val="24"/>
          <w:szCs w:val="24"/>
        </w:rPr>
        <w:t xml:space="preserve">inistração e dos valores das multas e indenizações a ela devidos; 9.2. – Retenção dos créditos decorrentes do contrato até o limite dos prejuízos causados à Administração. DÉCIMA: DO REGIME DE EXECUÇÃO: O Contrato será executado pelo regime de execução ind</w:t>
      </w:r>
      <w:r>
        <w:rPr>
          <w:rFonts w:ascii="Arial" w:hAnsi="Arial" w:eastAsia="Arial" w:cs="Arial"/>
          <w:sz w:val="24"/>
          <w:szCs w:val="24"/>
        </w:rPr>
        <w:t xml:space="preserve">ireta sob a modalidade de preço unitário. DÉCIMA PRIMEIRA: DA TAXA DE EXPEDIENTE: Obriga-se a Contratada a proceder ao recolhimento da Taxa de Expediente, no ato de assinatura do presente. DÉCIMA- SEGUNDA: DA PUBLICAÇÃO: Obriga-se a Contratante a proceder </w:t>
      </w:r>
      <w:r>
        <w:rPr>
          <w:rFonts w:ascii="Arial" w:hAnsi="Arial" w:eastAsia="Arial" w:cs="Arial"/>
          <w:sz w:val="24"/>
          <w:szCs w:val="24"/>
        </w:rPr>
        <w:t xml:space="preserve">a publicação, em extrato, do presente, no prazo legal, no órgão de imprensa que publica as matérias oficiais deste Município. DÉCIMA- TERCEIRA: DA RESPONSABILIDADE: Responsabiliza-se a Contratada por danos causados ao Município ou a Terceiros, decorrentes </w:t>
      </w:r>
      <w:r>
        <w:rPr>
          <w:rFonts w:ascii="Arial" w:hAnsi="Arial" w:eastAsia="Arial" w:cs="Arial"/>
          <w:sz w:val="24"/>
          <w:szCs w:val="24"/>
        </w:rPr>
        <w:t xml:space="preserve">de culpa ou dolo, na execução do presente, não excluída essa responsabilidade pela fiscalização ou pelo acompanhamento por órgão próprio do Contratante. DÉCIMA- QUARTA: DOS ENCARGOS SOCIAIS - 14.1. -  Todos os encargos sociais e as obrigações previstas na </w:t>
      </w:r>
      <w:r>
        <w:rPr>
          <w:rFonts w:ascii="Arial" w:hAnsi="Arial" w:eastAsia="Arial" w:cs="Arial"/>
          <w:sz w:val="24"/>
          <w:szCs w:val="24"/>
        </w:rPr>
        <w:t xml:space="preserve">C.L.T</w:t>
      </w:r>
      <w:r>
        <w:rPr>
          <w:rFonts w:ascii="Arial" w:hAnsi="Arial" w:eastAsia="Arial" w:cs="Arial"/>
          <w:sz w:val="24"/>
          <w:szCs w:val="24"/>
        </w:rPr>
        <w:t xml:space="preserve">. e respectiva legislação complementar, referente ao pessoal responsável pela consecução do objeto contratual, serão de total responsabilidade da Contratada. 14.2.- O contratado se obriga a manter, durante toda a execução do contrato, no que diz respeito </w:t>
      </w:r>
      <w:r>
        <w:rPr>
          <w:rFonts w:ascii="Arial" w:hAnsi="Arial" w:eastAsia="Arial" w:cs="Arial"/>
          <w:sz w:val="24"/>
          <w:szCs w:val="24"/>
        </w:rPr>
        <w:t xml:space="preserve">ás</w:t>
      </w:r>
      <w:r>
        <w:rPr>
          <w:rFonts w:ascii="Arial" w:hAnsi="Arial" w:eastAsia="Arial" w:cs="Arial"/>
          <w:sz w:val="24"/>
          <w:szCs w:val="24"/>
        </w:rPr>
        <w:t xml:space="preserve"> suas obrigações, todas as condições de habilitação e qualificação exigidas na licitação; DÉC</w:t>
      </w:r>
      <w:r>
        <w:rPr>
          <w:rFonts w:ascii="Arial" w:hAnsi="Arial" w:eastAsia="Arial" w:cs="Arial"/>
          <w:sz w:val="24"/>
          <w:szCs w:val="24"/>
        </w:rPr>
        <w:t xml:space="preserve">IMA- QUINTA: DA FISCALIZAÇÃO - O Contratante, através da Secretaria Municipal de ____________, fiscalizará a execução do objeto ora contratado. DÉCIMA- SEXTA: DA ACEITAÇÃO - A aceitação do objeto contratual ficará a cargo da Secretaria fiscalizadora. 16.1.</w:t>
      </w:r>
      <w:r>
        <w:rPr>
          <w:rFonts w:ascii="Arial" w:hAnsi="Arial" w:eastAsia="Arial" w:cs="Arial"/>
          <w:sz w:val="24"/>
          <w:szCs w:val="24"/>
        </w:rPr>
        <w:t xml:space="preserve">-. Em</w:t>
      </w:r>
      <w:r>
        <w:rPr>
          <w:rFonts w:ascii="Arial" w:hAnsi="Arial" w:eastAsia="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w:t>
      </w:r>
      <w:r>
        <w:rPr>
          <w:rFonts w:ascii="Arial" w:hAnsi="Arial" w:eastAsia="Arial" w:cs="Arial"/>
          <w:sz w:val="24"/>
          <w:szCs w:val="24"/>
        </w:rPr>
        <w:t xml:space="preserve">parar, corrigir, remover, reconstruir ou substituir, às suas expensas, no total ou em parte, o objeto do contrato em que se verificarem vícios, defeitos ou incorreções resultantes da execução ou de materiais empregados. DÉCIMA-SÉTIMA: DO FORO- Fica eleito </w:t>
      </w:r>
      <w:r>
        <w:rPr>
          <w:rFonts w:ascii="Arial" w:hAnsi="Arial" w:eastAsia="Arial" w:cs="Arial"/>
          <w:sz w:val="24"/>
          <w:szCs w:val="24"/>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eastAsia="Arial" w:cs="Arial"/>
          <w:sz w:val="24"/>
          <w:szCs w:val="24"/>
        </w:rPr>
        <w:t xml:space="preserve">de</w:t>
      </w:r>
      <w:r>
        <w:rPr>
          <w:rFonts w:ascii="Arial" w:hAnsi="Arial" w:eastAsia="Arial" w:cs="Arial"/>
          <w:sz w:val="24"/>
          <w:szCs w:val="24"/>
        </w:rPr>
        <w:t xml:space="preserve"> 2022.  </w:t>
      </w:r>
      <w:r/>
    </w:p>
    <w:p>
      <w:pPr>
        <w:pStyle w:val="853"/>
        <w:jc w:val="both"/>
        <w:spacing w:line="276" w:lineRule="auto"/>
        <w:rPr>
          <w:rFonts w:ascii="Arial" w:hAnsi="Arial" w:eastAsia="Arial" w:cs="Arial"/>
          <w:sz w:val="24"/>
          <w:szCs w:val="24"/>
        </w:rPr>
      </w:pPr>
      <w:r>
        <w:rPr>
          <w:rFonts w:ascii="Arial" w:hAnsi="Arial" w:eastAsia="Arial" w:cs="Arial"/>
          <w:sz w:val="24"/>
          <w:szCs w:val="24"/>
        </w:rPr>
      </w:r>
      <w:r/>
    </w:p>
    <w:p>
      <w:pPr>
        <w:pStyle w:val="853"/>
        <w:numPr>
          <w:ilvl w:val="6"/>
          <w:numId w:val="31"/>
        </w:numPr>
        <w:jc w:val="both"/>
        <w:keepNext/>
        <w:spacing w:line="276" w:lineRule="auto"/>
        <w:widowControl w:val="off"/>
        <w:rPr>
          <w:rFonts w:ascii="Arial" w:hAnsi="Arial" w:eastAsia="Arial" w:cs="Arial"/>
          <w:smallCaps/>
          <w:sz w:val="24"/>
          <w:szCs w:val="24"/>
        </w:rPr>
      </w:pPr>
      <w:r>
        <w:rPr>
          <w:rFonts w:ascii="Arial" w:hAnsi="Arial" w:eastAsia="Arial" w:cs="Arial"/>
          <w:smallCaps/>
          <w:sz w:val="24"/>
          <w:szCs w:val="24"/>
        </w:rPr>
        <w:t xml:space="preserve">SECRETÁRIO MUNICIPAL DE _____________</w:t>
      </w:r>
      <w:r/>
    </w:p>
    <w:p>
      <w:pPr>
        <w:pStyle w:val="853"/>
        <w:jc w:val="both"/>
        <w:spacing w:line="276" w:lineRule="auto"/>
        <w:rPr>
          <w:rFonts w:ascii="Arial" w:hAnsi="Arial" w:eastAsia="Arial" w:cs="Arial"/>
          <w:sz w:val="24"/>
          <w:szCs w:val="24"/>
        </w:rPr>
      </w:pPr>
      <w:r>
        <w:rPr>
          <w:rFonts w:ascii="Arial" w:hAnsi="Arial" w:eastAsia="Arial" w:cs="Arial"/>
          <w:sz w:val="24"/>
          <w:szCs w:val="24"/>
        </w:rPr>
        <w:t xml:space="preserve">CONTRATADA</w:t>
      </w:r>
      <w:r/>
    </w:p>
    <w:p>
      <w:pPr>
        <w:pStyle w:val="853"/>
        <w:jc w:val="both"/>
        <w:spacing w:line="276" w:lineRule="auto"/>
        <w:rPr>
          <w:rFonts w:ascii="Arial" w:hAnsi="Arial" w:eastAsia="Arial" w:cs="Arial"/>
          <w:sz w:val="24"/>
          <w:szCs w:val="24"/>
        </w:rPr>
      </w:pPr>
      <w:r>
        <w:rPr>
          <w:rFonts w:ascii="Arial" w:hAnsi="Arial" w:eastAsia="Arial" w:cs="Arial"/>
          <w:sz w:val="24"/>
          <w:szCs w:val="24"/>
        </w:rPr>
      </w:r>
      <w:r/>
    </w:p>
    <w:p>
      <w:pPr>
        <w:pStyle w:val="853"/>
        <w:jc w:val="both"/>
        <w:spacing w:line="276" w:lineRule="auto"/>
        <w:rPr>
          <w:rFonts w:ascii="Arial" w:hAnsi="Arial" w:eastAsia="Arial" w:cs="Arial"/>
          <w:sz w:val="24"/>
          <w:szCs w:val="24"/>
        </w:rPr>
      </w:pPr>
      <w:r>
        <w:rPr>
          <w:rFonts w:ascii="Arial" w:hAnsi="Arial" w:eastAsia="Arial" w:cs="Arial"/>
          <w:sz w:val="24"/>
          <w:szCs w:val="24"/>
        </w:rPr>
      </w:r>
      <w:r/>
    </w:p>
    <w:p>
      <w:pPr>
        <w:pStyle w:val="853"/>
        <w:jc w:val="both"/>
        <w:spacing w:line="276" w:lineRule="auto"/>
        <w:rPr>
          <w:rFonts w:ascii="Arial" w:hAnsi="Arial" w:eastAsia="Arial" w:cs="Arial"/>
          <w:sz w:val="24"/>
          <w:szCs w:val="24"/>
        </w:rPr>
      </w:pPr>
      <w:r>
        <w:rPr>
          <w:rFonts w:ascii="Arial" w:hAnsi="Arial" w:eastAsia="Arial" w:cs="Arial"/>
          <w:sz w:val="24"/>
          <w:szCs w:val="24"/>
        </w:rPr>
        <w:t xml:space="preserve">TESTEMUNHAS:</w:t>
      </w:r>
      <w:r/>
    </w:p>
    <w:p>
      <w:pPr>
        <w:pStyle w:val="853"/>
        <w:jc w:val="both"/>
        <w:spacing w:line="276" w:lineRule="auto"/>
        <w:rPr>
          <w:rFonts w:ascii="Arial" w:hAnsi="Arial" w:eastAsia="Arial" w:cs="Arial"/>
          <w:sz w:val="24"/>
          <w:szCs w:val="24"/>
        </w:rPr>
      </w:pPr>
      <w:r>
        <w:rPr>
          <w:rFonts w:ascii="Arial" w:hAnsi="Arial" w:eastAsia="Arial" w:cs="Arial"/>
          <w:sz w:val="24"/>
          <w:szCs w:val="24"/>
        </w:rPr>
        <w:t xml:space="preserve">1-_____________________________________   </w:t>
      </w:r>
      <w:r/>
    </w:p>
    <w:p>
      <w:pPr>
        <w:pStyle w:val="853"/>
        <w:jc w:val="both"/>
        <w:spacing w:line="276" w:lineRule="auto"/>
        <w:rPr>
          <w:rFonts w:ascii="Arial" w:hAnsi="Arial" w:eastAsia="Arial" w:cs="Arial"/>
          <w:sz w:val="24"/>
          <w:szCs w:val="24"/>
        </w:rPr>
      </w:pPr>
      <w:r>
        <w:rPr>
          <w:rFonts w:ascii="Arial" w:hAnsi="Arial" w:eastAsia="Arial" w:cs="Arial"/>
          <w:sz w:val="24"/>
          <w:szCs w:val="24"/>
        </w:rPr>
        <w:t xml:space="preserve">C.I</w:t>
      </w:r>
      <w:r>
        <w:rPr>
          <w:rFonts w:ascii="Arial" w:hAnsi="Arial" w:eastAsia="Arial" w:cs="Arial"/>
          <w:sz w:val="24"/>
          <w:szCs w:val="24"/>
        </w:rPr>
        <w:t xml:space="preserve">. nº. _______________________</w:t>
      </w:r>
      <w:r/>
    </w:p>
    <w:p>
      <w:pPr>
        <w:pStyle w:val="853"/>
        <w:jc w:val="both"/>
        <w:spacing w:line="276" w:lineRule="auto"/>
        <w:rPr>
          <w:rFonts w:ascii="Arial" w:hAnsi="Arial" w:eastAsia="Arial" w:cs="Arial"/>
          <w:sz w:val="24"/>
          <w:szCs w:val="24"/>
        </w:rPr>
      </w:pPr>
      <w:r>
        <w:rPr>
          <w:rFonts w:ascii="Arial" w:hAnsi="Arial" w:eastAsia="Arial" w:cs="Arial"/>
          <w:sz w:val="24"/>
          <w:szCs w:val="24"/>
        </w:rPr>
        <w:t xml:space="preserve">2-_____________________________________  </w:t>
      </w:r>
      <w:r/>
    </w:p>
    <w:p>
      <w:pPr>
        <w:pStyle w:val="853"/>
        <w:jc w:val="both"/>
        <w:spacing w:line="276" w:lineRule="auto"/>
        <w:rPr>
          <w:rFonts w:ascii="Arial" w:hAnsi="Arial" w:cs="Arial"/>
        </w:rPr>
      </w:pPr>
      <w:r>
        <w:rPr>
          <w:rFonts w:ascii="Arial" w:hAnsi="Arial" w:eastAsia="Arial" w:cs="Arial"/>
          <w:sz w:val="24"/>
          <w:szCs w:val="24"/>
        </w:rPr>
        <w:t xml:space="preserve">C.I</w:t>
      </w:r>
      <w:r>
        <w:rPr>
          <w:rFonts w:ascii="Arial" w:hAnsi="Arial" w:eastAsia="Arial" w:cs="Arial"/>
          <w:sz w:val="24"/>
          <w:szCs w:val="24"/>
        </w:rPr>
        <w:t xml:space="preserve">. nº. ________________________</w:t>
      </w:r>
      <w:r/>
    </w:p>
    <w:p>
      <w:pPr>
        <w:pStyle w:val="853"/>
        <w:jc w:val="both"/>
        <w:spacing w:line="276" w:lineRule="auto"/>
        <w:rPr>
          <w:rFonts w:ascii="Arial" w:hAnsi="Arial" w:cs="Arial"/>
        </w:rPr>
      </w:pPr>
      <w:r>
        <w:rPr>
          <w:rFonts w:ascii="Arial" w:hAnsi="Arial" w:cs="Arial"/>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pStyle w:val="853"/>
        <w:jc w:val="center"/>
        <w:rPr>
          <w:rFonts w:ascii="Arial" w:hAnsi="Arial" w:eastAsia="Arial" w:cs="Arial"/>
          <w:b/>
          <w:sz w:val="24"/>
          <w:szCs w:val="24"/>
          <w:u w:val="single"/>
        </w:rPr>
      </w:pPr>
      <w:r>
        <w:rPr>
          <w:rFonts w:ascii="Arial" w:hAnsi="Arial" w:eastAsia="Arial" w:cs="Arial"/>
          <w:b/>
          <w:sz w:val="24"/>
          <w:szCs w:val="24"/>
          <w:u w:val="single"/>
        </w:rPr>
        <w:t xml:space="preserve">ANEXO V:</w:t>
      </w:r>
      <w:r/>
    </w:p>
    <w:p>
      <w:pPr>
        <w:pStyle w:val="853"/>
        <w:jc w:val="both"/>
        <w:rPr>
          <w:rFonts w:ascii="Arial" w:hAnsi="Arial" w:eastAsia="Arial" w:cs="Arial"/>
          <w:sz w:val="24"/>
          <w:szCs w:val="24"/>
        </w:rPr>
      </w:pPr>
      <w:r>
        <w:rPr>
          <w:rFonts w:ascii="Arial" w:hAnsi="Arial" w:eastAsia="Arial" w:cs="Arial"/>
          <w:sz w:val="24"/>
          <w:szCs w:val="24"/>
        </w:rPr>
      </w:r>
      <w:r/>
    </w:p>
    <w:p>
      <w:pPr>
        <w:pStyle w:val="853"/>
        <w:jc w:val="center"/>
        <w:rPr>
          <w:rFonts w:ascii="Arial" w:hAnsi="Arial" w:eastAsia="Arial" w:cs="Arial"/>
          <w:sz w:val="24"/>
          <w:szCs w:val="24"/>
        </w:rPr>
      </w:pPr>
      <w:r>
        <w:rPr>
          <w:rFonts w:ascii="Arial" w:hAnsi="Arial" w:eastAsia="Arial" w:cs="Arial"/>
          <w:sz w:val="24"/>
          <w:szCs w:val="24"/>
        </w:rPr>
        <w:t xml:space="preserve">MODELO DE DECLARAÇÃO CONJUNTA SOBRE PRAZO DE FORNECIMENTO, ART. 88 DA LEI ORGÂNICA MUNICIPAL E FUNCIONÁRIO INELEGÍVEL</w:t>
      </w:r>
      <w:r/>
    </w:p>
    <w:p>
      <w:pPr>
        <w:pStyle w:val="853"/>
        <w:jc w:val="both"/>
        <w:spacing w:before="120" w:after="120"/>
        <w:rPr>
          <w:rFonts w:ascii="Arial" w:hAnsi="Arial" w:eastAsia="Arial" w:cs="Arial"/>
          <w:sz w:val="24"/>
          <w:szCs w:val="24"/>
        </w:rPr>
      </w:pPr>
      <w:r>
        <w:rPr>
          <w:rFonts w:ascii="Arial" w:hAnsi="Arial" w:eastAsia="Arial" w:cs="Arial"/>
          <w:sz w:val="24"/>
          <w:szCs w:val="24"/>
        </w:rPr>
      </w:r>
      <w:r/>
    </w:p>
    <w:p>
      <w:pPr>
        <w:pStyle w:val="853"/>
        <w:jc w:val="both"/>
        <w:spacing w:before="120" w:after="120" w:line="276" w:lineRule="auto"/>
        <w:rPr>
          <w:rFonts w:ascii="Arial" w:hAnsi="Arial" w:eastAsia="Arial" w:cs="Arial"/>
          <w:sz w:val="24"/>
          <w:szCs w:val="24"/>
        </w:rPr>
      </w:pPr>
      <w:r>
        <w:rPr>
          <w:rFonts w:ascii="Arial" w:hAnsi="Arial" w:eastAsia="Arial" w:cs="Arial"/>
          <w:sz w:val="24"/>
          <w:szCs w:val="24"/>
        </w:rPr>
        <w:t xml:space="preserve">Pelo presente instrumento, a empresa ____________________________________, portadora do CNPJ </w:t>
      </w:r>
      <w:r>
        <w:rPr>
          <w:rFonts w:ascii="Arial" w:hAnsi="Arial" w:eastAsia="Arial" w:cs="Arial"/>
          <w:sz w:val="24"/>
          <w:szCs w:val="24"/>
        </w:rPr>
        <w:t xml:space="preserve">XX.XXX.XXX</w:t>
      </w:r>
      <w:r>
        <w:rPr>
          <w:rFonts w:ascii="Arial" w:hAnsi="Arial" w:eastAsia="Arial" w:cs="Arial"/>
          <w:sz w:val="24"/>
          <w:szCs w:val="24"/>
        </w:rPr>
        <w:t xml:space="preserve">/</w:t>
      </w:r>
      <w:r>
        <w:rPr>
          <w:rFonts w:ascii="Arial" w:hAnsi="Arial" w:eastAsia="Arial" w:cs="Arial"/>
          <w:sz w:val="24"/>
          <w:szCs w:val="24"/>
        </w:rPr>
        <w:t xml:space="preserve">XXXX</w:t>
      </w:r>
      <w:r>
        <w:rPr>
          <w:rFonts w:ascii="Arial" w:hAnsi="Arial" w:eastAsia="Arial" w:cs="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eastAsia="Arial" w:cs="Arial"/>
          <w:sz w:val="24"/>
          <w:szCs w:val="24"/>
        </w:rPr>
        <w:t xml:space="preserve">XXXXXXXXXX</w:t>
      </w:r>
      <w:r>
        <w:rPr>
          <w:rFonts w:ascii="Arial" w:hAnsi="Arial" w:eastAsia="Arial" w:cs="Arial"/>
          <w:sz w:val="24"/>
          <w:szCs w:val="24"/>
        </w:rPr>
        <w:t xml:space="preserve">, expedida pela </w:t>
      </w:r>
      <w:r>
        <w:rPr>
          <w:rFonts w:ascii="Arial" w:hAnsi="Arial" w:eastAsia="Arial" w:cs="Arial"/>
          <w:sz w:val="24"/>
          <w:szCs w:val="24"/>
        </w:rPr>
        <w:t xml:space="preserve">XXXXX</w:t>
      </w:r>
      <w:r>
        <w:rPr>
          <w:rFonts w:ascii="Arial" w:hAnsi="Arial" w:eastAsia="Arial" w:cs="Arial"/>
          <w:sz w:val="24"/>
          <w:szCs w:val="24"/>
        </w:rPr>
        <w:t xml:space="preserve">/XX, inscrito no </w:t>
      </w:r>
      <w:r>
        <w:rPr>
          <w:rFonts w:ascii="Arial" w:hAnsi="Arial" w:eastAsia="Arial" w:cs="Arial"/>
          <w:sz w:val="24"/>
          <w:szCs w:val="24"/>
        </w:rPr>
        <w:t xml:space="preserve">C.P.F</w:t>
      </w:r>
      <w:r>
        <w:rPr>
          <w:rFonts w:ascii="Arial" w:hAnsi="Arial" w:eastAsia="Arial" w:cs="Arial"/>
          <w:sz w:val="24"/>
          <w:szCs w:val="24"/>
        </w:rPr>
        <w:t xml:space="preserve">. sob o nº </w:t>
      </w:r>
      <w:r>
        <w:rPr>
          <w:rFonts w:ascii="Arial" w:hAnsi="Arial" w:eastAsia="Arial" w:cs="Arial"/>
          <w:sz w:val="24"/>
          <w:szCs w:val="24"/>
        </w:rPr>
        <w:t xml:space="preserve">XXX.XXX.XXX</w:t>
      </w:r>
      <w:r>
        <w:rPr>
          <w:rFonts w:ascii="Arial" w:hAnsi="Arial" w:eastAsia="Arial" w:cs="Arial"/>
          <w:sz w:val="24"/>
          <w:szCs w:val="24"/>
        </w:rPr>
        <w:t xml:space="preserve">-XX, residente e domiciliado a _______________________________________ outorgando-lhe plenos poderes para representá-la na sessão pública do Pregão Eletrônico nº </w:t>
      </w:r>
      <w:r>
        <w:rPr>
          <w:rFonts w:ascii="Arial" w:hAnsi="Arial" w:eastAsia="Arial" w:cs="Arial"/>
          <w:sz w:val="24"/>
          <w:szCs w:val="24"/>
        </w:rPr>
      </w:r>
      <w:r>
        <w:rPr>
          <w:rFonts w:ascii="Arial" w:hAnsi="Arial" w:eastAsia="Arial" w:cs="Arial"/>
          <w:sz w:val="24"/>
          <w:szCs w:val="24"/>
        </w:rPr>
        <w:t xml:space="preserve">091</w:t>
      </w:r>
      <w:r>
        <w:rPr>
          <w:rFonts w:ascii="Arial" w:hAnsi="Arial" w:eastAsia="Arial" w:cs="Arial"/>
          <w:sz w:val="24"/>
          <w:szCs w:val="24"/>
        </w:rPr>
        <w:t xml:space="preserve">/2022</w:t>
      </w:r>
      <w:r/>
      <w:r>
        <w:rPr>
          <w:rFonts w:ascii="Arial" w:hAnsi="Arial" w:eastAsia="Arial" w:cs="Arial"/>
          <w:sz w:val="24"/>
          <w:szCs w:val="24"/>
        </w:rPr>
        <w:t xml:space="preserve">  </w:t>
      </w:r>
      <w:r>
        <w:rPr>
          <w:rFonts w:ascii="Arial" w:hAnsi="Arial" w:eastAsia="Arial" w:cs="Arial"/>
          <w:sz w:val="24"/>
          <w:szCs w:val="24"/>
        </w:rPr>
        <w:t xml:space="preserve">d</w:t>
      </w:r>
      <w:r>
        <w:rPr>
          <w:rFonts w:ascii="Arial" w:hAnsi="Arial" w:eastAsia="Arial" w:cs="Arial"/>
          <w:sz w:val="24"/>
          <w:szCs w:val="24"/>
        </w:rPr>
        <w:t xml:space="preserve">o</w:t>
      </w:r>
      <w:r>
        <w:rPr>
          <w:rFonts w:ascii="Arial" w:hAnsi="Arial" w:eastAsia="Arial" w:cs="Arial"/>
          <w:sz w:val="24"/>
          <w:szCs w:val="24"/>
        </w:rPr>
        <w:t xml:space="preserve">s</w:t>
      </w:r>
      <w:r>
        <w:rPr>
          <w:rFonts w:ascii="Arial" w:hAnsi="Arial" w:eastAsia="Arial" w:cs="Arial"/>
          <w:sz w:val="24"/>
          <w:szCs w:val="24"/>
        </w:rPr>
        <w:t xml:space="preserve"> processo</w:t>
      </w:r>
      <w:r>
        <w:rPr>
          <w:rFonts w:ascii="Arial" w:hAnsi="Arial" w:eastAsia="Arial" w:cs="Arial"/>
          <w:sz w:val="24"/>
          <w:szCs w:val="24"/>
        </w:rPr>
        <w:t xml:space="preserve">s</w:t>
      </w:r>
      <w:r>
        <w:rPr>
          <w:rFonts w:ascii="Arial" w:hAnsi="Arial" w:eastAsia="Arial" w:cs="Arial"/>
          <w:sz w:val="24"/>
          <w:szCs w:val="24"/>
        </w:rPr>
        <w:t xml:space="preserve"> administrativo</w:t>
      </w:r>
      <w:r>
        <w:rPr>
          <w:rFonts w:ascii="Arial" w:hAnsi="Arial" w:eastAsia="Arial" w:cs="Arial"/>
          <w:sz w:val="24"/>
          <w:szCs w:val="24"/>
        </w:rPr>
        <w:t xml:space="preserve">s</w:t>
      </w:r>
      <w:r>
        <w:rPr>
          <w:rFonts w:ascii="Arial" w:hAnsi="Arial" w:eastAsia="Arial" w:cs="Arial"/>
          <w:sz w:val="24"/>
          <w:szCs w:val="24"/>
        </w:rPr>
        <w:t xml:space="preserve"> nº </w:t>
      </w:r>
      <w:r>
        <w:rPr>
          <w:rFonts w:ascii="Arial" w:hAnsi="Arial" w:cs="Arial"/>
          <w:sz w:val="24"/>
          <w:szCs w:val="24"/>
        </w:rPr>
        <w:t xml:space="preserve">7.680/2022 e 7.683/2022</w:t>
      </w:r>
      <w:r>
        <w:rPr>
          <w:rFonts w:ascii="Arial" w:hAnsi="Arial" w:eastAsia="Arial" w:cs="Arial"/>
          <w:sz w:val="24"/>
          <w:szCs w:val="24"/>
        </w:rPr>
        <w:t xml:space="preserve">, declara a quem possa interessar, sob as penas da lei:</w:t>
      </w:r>
      <w:r/>
    </w:p>
    <w:p>
      <w:pPr>
        <w:pStyle w:val="853"/>
        <w:numPr>
          <w:ilvl w:val="0"/>
          <w:numId w:val="33"/>
        </w:numPr>
        <w:ind w:left="0" w:firstLine="0"/>
        <w:jc w:val="both"/>
        <w:spacing w:before="120" w:after="120" w:line="276" w:lineRule="auto"/>
        <w:tabs>
          <w:tab w:val="left" w:pos="426" w:leader="none"/>
        </w:tabs>
        <w:rPr>
          <w:rFonts w:ascii="Arial" w:hAnsi="Arial" w:eastAsia="Arial" w:cs="Arial"/>
          <w:sz w:val="24"/>
          <w:szCs w:val="24"/>
        </w:rPr>
      </w:pPr>
      <w:r>
        <w:rPr>
          <w:rFonts w:ascii="Arial" w:hAnsi="Arial" w:eastAsia="Arial" w:cs="Arial"/>
          <w:sz w:val="24"/>
          <w:szCs w:val="24"/>
        </w:rPr>
        <w:t xml:space="preserve">que, caso seja contratada, cumprirá o prazo de fornecimento de entrega de no máximo</w:t>
      </w:r>
      <w:r>
        <w:rPr>
          <w:rFonts w:ascii="Arial" w:hAnsi="Arial" w:cs="Arial"/>
          <w:b/>
          <w:spacing w:val="-7"/>
          <w:sz w:val="24"/>
          <w:szCs w:val="24"/>
        </w:rPr>
        <w:t xml:space="preserve"> </w:t>
      </w:r>
      <w:r>
        <w:rPr>
          <w:rFonts w:ascii="Arial" w:hAnsi="Arial" w:cs="Arial"/>
          <w:b/>
          <w:spacing w:val="-7"/>
          <w:sz w:val="24"/>
          <w:szCs w:val="24"/>
        </w:rPr>
        <w:t xml:space="preserve">15</w:t>
      </w:r>
      <w:r>
        <w:rPr>
          <w:rFonts w:ascii="Arial" w:hAnsi="Arial" w:cs="Arial"/>
          <w:b/>
          <w:spacing w:val="-7"/>
          <w:sz w:val="24"/>
          <w:szCs w:val="24"/>
        </w:rPr>
        <w:t xml:space="preserve"> (</w:t>
      </w:r>
      <w:r>
        <w:rPr>
          <w:rFonts w:ascii="Arial" w:hAnsi="Arial" w:cs="Arial"/>
          <w:b/>
          <w:spacing w:val="-7"/>
          <w:sz w:val="24"/>
          <w:szCs w:val="24"/>
        </w:rPr>
        <w:t xml:space="preserve">quinze</w:t>
      </w:r>
      <w:r>
        <w:rPr>
          <w:rFonts w:ascii="Arial" w:hAnsi="Arial" w:cs="Arial"/>
          <w:b/>
          <w:spacing w:val="-7"/>
          <w:sz w:val="24"/>
          <w:szCs w:val="24"/>
        </w:rPr>
        <w:t xml:space="preserve">) dias</w:t>
      </w:r>
      <w:r>
        <w:rPr>
          <w:rFonts w:ascii="Arial" w:hAnsi="Arial" w:cs="Arial"/>
          <w:spacing w:val="-7"/>
          <w:sz w:val="24"/>
          <w:szCs w:val="24"/>
        </w:rPr>
        <w:t xml:space="preserve"> </w:t>
      </w:r>
      <w:r>
        <w:rPr>
          <w:rFonts w:ascii="Arial" w:hAnsi="Arial" w:eastAsia="Arial" w:cs="Arial"/>
          <w:sz w:val="24"/>
          <w:szCs w:val="24"/>
        </w:rPr>
        <w:t xml:space="preserve">e atender ao item 16.1 do edital sob as penas do art. 7ª da Lei Federal nº 10.520/2002 (não será aceita entrega parcial das ordens de compra e empenhos). </w:t>
      </w:r>
      <w:r/>
    </w:p>
    <w:p>
      <w:pPr>
        <w:pStyle w:val="853"/>
        <w:numPr>
          <w:ilvl w:val="0"/>
          <w:numId w:val="33"/>
        </w:numPr>
        <w:ind w:left="0" w:firstLine="0"/>
        <w:jc w:val="both"/>
        <w:spacing w:before="120" w:after="120" w:line="276" w:lineRule="auto"/>
        <w:tabs>
          <w:tab w:val="left" w:pos="426" w:leader="none"/>
        </w:tabs>
        <w:rPr>
          <w:rFonts w:ascii="Arial" w:hAnsi="Arial" w:eastAsia="Arial" w:cs="Arial"/>
          <w:sz w:val="24"/>
          <w:szCs w:val="24"/>
        </w:rPr>
      </w:pPr>
      <w:r>
        <w:rPr>
          <w:rFonts w:ascii="Arial" w:hAnsi="Arial" w:eastAsia="Arial" w:cs="Arial"/>
          <w:sz w:val="24"/>
          <w:szCs w:val="24"/>
        </w:rPr>
        <w:t xml:space="preserve">para os fins do disposto no artigo 88 da Lei Orgânica Municipal, que não possui no seu quadro de funcionários: dirigentes, vereadores, ocupant</w:t>
      </w:r>
      <w:r>
        <w:rPr>
          <w:rFonts w:ascii="Arial" w:hAnsi="Arial" w:eastAsia="Arial" w:cs="Arial"/>
          <w:sz w:val="24"/>
          <w:szCs w:val="24"/>
        </w:rPr>
        <w:t xml:space="preserve">es de cargos comissionados e servidores municipais, bem como pessoas ligadas a qualquer deles por matrimônio ou parentesco, afim ou consanguíneo até o segundo grau ou por adoção ou que tenham sido nos últimos 180 dias anteriores à data do ato convocatório.</w:t>
      </w:r>
      <w:r/>
    </w:p>
    <w:p>
      <w:pPr>
        <w:pStyle w:val="853"/>
        <w:numPr>
          <w:ilvl w:val="0"/>
          <w:numId w:val="33"/>
        </w:numPr>
        <w:ind w:left="0" w:firstLine="0"/>
        <w:jc w:val="both"/>
        <w:spacing w:before="120" w:after="120" w:line="276" w:lineRule="auto"/>
        <w:tabs>
          <w:tab w:val="left" w:pos="426" w:leader="none"/>
        </w:tabs>
        <w:rPr>
          <w:rFonts w:ascii="Arial" w:hAnsi="Arial" w:eastAsia="Arial" w:cs="Arial"/>
          <w:sz w:val="24"/>
          <w:szCs w:val="24"/>
        </w:rPr>
      </w:pPr>
      <w:r>
        <w:rPr>
          <w:rFonts w:ascii="Arial" w:hAnsi="Arial" w:cs="Arial"/>
          <w:sz w:val="24"/>
          <w:szCs w:val="24"/>
        </w:rPr>
        <w:t xml:space="preserve">para os fins do disposto no Art. 73-B, I e II da Lei Orgânica do Município de Teresópolis</w:t>
      </w:r>
      <w:r>
        <w:rPr>
          <w:rFonts w:ascii="Arial" w:hAnsi="Arial" w:eastAsia="Arial" w:cs="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853"/>
        <w:jc w:val="both"/>
        <w:spacing w:before="120" w:after="120" w:line="276" w:lineRule="auto"/>
        <w:tabs>
          <w:tab w:val="left" w:pos="426" w:leader="none"/>
        </w:tabs>
        <w:rPr>
          <w:rFonts w:ascii="Arial" w:hAnsi="Arial" w:eastAsia="Arial" w:cs="Arial"/>
          <w:sz w:val="24"/>
          <w:szCs w:val="24"/>
        </w:rPr>
      </w:pPr>
      <w:r>
        <w:rPr>
          <w:rFonts w:ascii="Arial" w:hAnsi="Arial" w:eastAsia="Arial" w:cs="Arial"/>
          <w:sz w:val="24"/>
          <w:szCs w:val="24"/>
        </w:rPr>
        <w:t xml:space="preserve">I – </w:t>
      </w:r>
      <w:r>
        <w:rPr>
          <w:rFonts w:ascii="Arial" w:hAnsi="Arial" w:eastAsia="Arial" w:cs="Arial"/>
          <w:sz w:val="24"/>
          <w:szCs w:val="24"/>
        </w:rPr>
        <w:t xml:space="preserve">representação</w:t>
      </w:r>
      <w:r>
        <w:rPr>
          <w:rFonts w:ascii="Arial" w:hAnsi="Arial" w:eastAsia="Arial" w:cs="Arial"/>
          <w:sz w:val="24"/>
          <w:szCs w:val="24"/>
        </w:rPr>
        <w:t xml:space="preserve"> contra sua pessoa julgada procedente pela Justiça Eleitoral em s de abuso do poder econômico ou político;</w:t>
      </w:r>
      <w:r/>
    </w:p>
    <w:p>
      <w:pPr>
        <w:pStyle w:val="853"/>
        <w:jc w:val="both"/>
        <w:spacing w:before="120" w:after="120" w:line="276" w:lineRule="auto"/>
        <w:tabs>
          <w:tab w:val="left" w:pos="426" w:leader="none"/>
        </w:tabs>
        <w:rPr>
          <w:rFonts w:ascii="Arial" w:hAnsi="Arial" w:eastAsia="Arial" w:cs="Arial"/>
          <w:sz w:val="24"/>
          <w:szCs w:val="24"/>
        </w:rPr>
      </w:pPr>
      <w:r>
        <w:rPr>
          <w:rFonts w:ascii="Arial" w:hAnsi="Arial" w:eastAsia="Arial" w:cs="Arial"/>
          <w:sz w:val="24"/>
          <w:szCs w:val="24"/>
        </w:rPr>
        <w:t xml:space="preserve">II – </w:t>
      </w:r>
      <w:r>
        <w:rPr>
          <w:rFonts w:ascii="Arial" w:hAnsi="Arial" w:eastAsia="Arial" w:cs="Arial"/>
          <w:sz w:val="24"/>
          <w:szCs w:val="24"/>
        </w:rPr>
        <w:t xml:space="preserve">condenação</w:t>
      </w:r>
      <w:r>
        <w:rPr>
          <w:rFonts w:ascii="Arial" w:hAnsi="Arial" w:eastAsia="Arial" w:cs="Arial"/>
          <w:sz w:val="24"/>
          <w:szCs w:val="24"/>
        </w:rPr>
        <w:t xml:space="preserve"> por crimes contra a economia popular, a fé pública, a administração pública ou o patrimônio público.</w:t>
      </w:r>
      <w:r/>
    </w:p>
    <w:p>
      <w:pPr>
        <w:pStyle w:val="853"/>
        <w:ind w:left="720"/>
        <w:jc w:val="both"/>
        <w:spacing w:before="120" w:after="120" w:line="276" w:lineRule="auto"/>
        <w:rPr>
          <w:rFonts w:ascii="Arial" w:hAnsi="Arial" w:eastAsia="Arial" w:cs="Arial"/>
          <w:sz w:val="24"/>
          <w:szCs w:val="24"/>
        </w:rPr>
      </w:pPr>
      <w:r>
        <w:rPr>
          <w:rFonts w:ascii="Arial" w:hAnsi="Arial" w:eastAsia="Arial" w:cs="Arial"/>
          <w:sz w:val="24"/>
          <w:szCs w:val="24"/>
        </w:rPr>
        <w:t xml:space="preserve">Por ser a expressão da verdade, firmo a presente.</w:t>
      </w:r>
      <w:r/>
    </w:p>
    <w:p>
      <w:pPr>
        <w:pStyle w:val="853"/>
        <w:jc w:val="both"/>
        <w:spacing w:line="276" w:lineRule="auto"/>
        <w:rPr>
          <w:rFonts w:ascii="Arial" w:hAnsi="Arial" w:eastAsia="Arial" w:cs="Arial"/>
          <w:b/>
          <w:sz w:val="24"/>
          <w:szCs w:val="24"/>
        </w:rPr>
      </w:pPr>
      <w:r>
        <w:rPr>
          <w:rFonts w:ascii="Arial" w:hAnsi="Arial" w:eastAsia="Arial" w:cs="Arial"/>
          <w:b/>
          <w:sz w:val="24"/>
          <w:szCs w:val="24"/>
        </w:rPr>
        <w:t xml:space="preserve">(local e data)</w:t>
      </w:r>
      <w:r/>
    </w:p>
    <w:p>
      <w:pPr>
        <w:pStyle w:val="853"/>
        <w:jc w:val="both"/>
        <w:spacing w:before="120" w:after="120" w:line="276" w:lineRule="auto"/>
        <w:rPr>
          <w:rFonts w:ascii="Arial" w:hAnsi="Arial" w:eastAsia="Arial" w:cs="Arial"/>
          <w:b/>
          <w:sz w:val="24"/>
          <w:szCs w:val="24"/>
          <w:u w:val="single"/>
        </w:rPr>
      </w:pPr>
      <w:r>
        <w:rPr>
          <w:rFonts w:ascii="Arial" w:hAnsi="Arial" w:eastAsia="Arial" w:cs="Arial"/>
          <w:b/>
          <w:sz w:val="24"/>
          <w:szCs w:val="24"/>
        </w:rPr>
        <w:t xml:space="preserve">(nome completo, </w:t>
      </w:r>
      <w:r>
        <w:rPr>
          <w:rFonts w:ascii="Arial" w:hAnsi="Arial" w:eastAsia="Arial" w:cs="Arial"/>
          <w:b/>
          <w:sz w:val="24"/>
          <w:szCs w:val="24"/>
        </w:rPr>
        <w:t xml:space="preserve">C.P.F</w:t>
      </w:r>
      <w:r>
        <w:rPr>
          <w:rFonts w:ascii="Arial" w:hAnsi="Arial" w:eastAsia="Arial" w:cs="Arial"/>
          <w:b/>
          <w:sz w:val="24"/>
          <w:szCs w:val="24"/>
        </w:rPr>
        <w:t xml:space="preserve">., cargo ou função e assinatura do representante legal)</w:t>
      </w:r>
      <w:r/>
    </w:p>
    <w:sectPr>
      <w:headerReference w:type="default" r:id="rId10"/>
      <w:footerReference w:type="default" r:id="rId11"/>
      <w:footnotePr/>
      <w:endnotePr/>
      <w:type w:val="nextPage"/>
      <w:pgSz w:w="11906" w:h="16838" w:orient="portrait"/>
      <w:pgMar w:top="1417" w:right="991" w:bottom="1417" w:left="1701" w:header="397" w:footer="54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nQuanYi Micro Hei">
    <w:panose1 w:val="02000603000000000000"/>
  </w:font>
  <w:font w:name="Lohit Hindi">
    <w:panose1 w:val="02000603000000000000"/>
  </w:font>
  <w:font w:name="Ecofont_Spranq_eco_Sans">
    <w:panose1 w:val="02000603000000000000"/>
  </w:font>
  <w:font w:name="Bookman Old Style">
    <w:panose1 w:val="02040503050406030204"/>
  </w:font>
  <w:font w:name="MS Gothic">
    <w:panose1 w:val="020B0609070205080204"/>
  </w:font>
  <w:font w:name="Times New Roman">
    <w:panose1 w:val="02020603050405020304"/>
  </w:font>
  <w:font w:name="Zurich BT">
    <w:panose1 w:val="02000603000000000000"/>
  </w:font>
  <w:font w:name="Calibri">
    <w:panose1 w:val="020F0502020204030204"/>
  </w:font>
  <w:font w:name="Cambria">
    <w:panose1 w:val="02040503050406030204"/>
  </w:font>
  <w:font w:name="Roman 12cpi">
    <w:panose1 w:val="02000603000000000000"/>
  </w:font>
  <w:font w:name="Arial Unicode MS">
    <w:panose1 w:val="020B0604020202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0"/>
      <w:jc w:val="right"/>
      <w:spacing w:line="276" w:lineRule="auto"/>
      <w:tabs>
        <w:tab w:val="left" w:pos="5245" w:leader="none"/>
        <w:tab w:val="right" w:pos="8080" w:leader="none"/>
      </w:tabs>
      <w:rPr>
        <w:rFonts w:ascii="Arial" w:hAnsi="Arial"/>
        <w:b/>
        <w:iCs/>
        <w:sz w:val="16"/>
        <w:szCs w:val="16"/>
      </w:rPr>
    </w:pPr>
    <w:r>
      <w:rPr>
        <w:rFonts w:ascii="Arial" w:hAnsi="Arial"/>
        <w:b/>
        <w:iCs/>
        <w:sz w:val="16"/>
        <w:szCs w:val="16"/>
      </w:rPr>
      <w:t xml:space="preserve">Clarissa </w:t>
    </w:r>
    <w:r>
      <w:rPr>
        <w:rFonts w:ascii="Arial" w:hAnsi="Arial"/>
        <w:b/>
        <w:iCs/>
        <w:sz w:val="16"/>
        <w:szCs w:val="16"/>
      </w:rPr>
      <w:t xml:space="preserve">Rippel</w:t>
    </w:r>
    <w:r>
      <w:rPr>
        <w:rFonts w:ascii="Arial" w:hAnsi="Arial"/>
        <w:b/>
        <w:iCs/>
        <w:sz w:val="16"/>
        <w:szCs w:val="16"/>
      </w:rPr>
      <w:t xml:space="preserve"> </w:t>
    </w:r>
    <w:r>
      <w:rPr>
        <w:rFonts w:ascii="Arial" w:hAnsi="Arial"/>
        <w:b/>
        <w:iCs/>
        <w:sz w:val="16"/>
        <w:szCs w:val="16"/>
      </w:rPr>
      <w:t xml:space="preserve">Bolson</w:t>
    </w:r>
    <w:r>
      <w:rPr>
        <w:rFonts w:ascii="Arial" w:hAnsi="Arial"/>
        <w:b/>
        <w:iCs/>
        <w:sz w:val="16"/>
        <w:szCs w:val="16"/>
      </w:rPr>
      <w:t xml:space="preserve"> Guita</w:t>
    </w:r>
    <w:r/>
  </w:p>
  <w:p>
    <w:pPr>
      <w:pStyle w:val="850"/>
      <w:jc w:val="right"/>
      <w:spacing w:line="276" w:lineRule="auto"/>
      <w:tabs>
        <w:tab w:val="right" w:pos="7655" w:leader="none"/>
        <w:tab w:val="right" w:pos="8364" w:leader="none"/>
      </w:tabs>
      <w:rPr>
        <w:rFonts w:ascii="Arial" w:hAnsi="Arial"/>
        <w:b/>
        <w:iCs/>
        <w:sz w:val="16"/>
        <w:szCs w:val="16"/>
      </w:rPr>
    </w:pPr>
    <w:r>
      <w:rPr>
        <w:rFonts w:ascii="Arial" w:hAnsi="Arial"/>
        <w:b/>
        <w:iCs/>
        <w:sz w:val="16"/>
        <w:szCs w:val="16"/>
      </w:rPr>
      <w:t xml:space="preserve">Secretária Municipal de Saúde</w:t>
    </w:r>
    <w:r/>
  </w:p>
  <w:p>
    <w:pPr>
      <w:pStyle w:val="850"/>
      <w:jc w:val="right"/>
      <w:tabs>
        <w:tab w:val="right" w:pos="8080" w:leader="none"/>
      </w:tabs>
      <w:rPr>
        <w:rFonts w:ascii="Times New Roman" w:hAnsi="Times New Roman"/>
        <w:b/>
        <w:i/>
        <w:color w:val="ff0000"/>
        <w:sz w:val="16"/>
        <w:szCs w:val="16"/>
      </w:rPr>
    </w:pPr>
    <w:r>
      <w:rPr>
        <w:rFonts w:ascii="Arial" w:hAnsi="Arial"/>
        <w:b/>
        <w:iCs/>
        <w:sz w:val="16"/>
        <w:szCs w:val="16"/>
      </w:rPr>
      <w:t xml:space="preserve">Mat. 4.19950-6</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3"/>
      <w:jc w:val="both"/>
      <w:rPr>
        <w:rFonts w:ascii="Bookman Old Style" w:hAnsi="Bookman Old Style" w:eastAsia="Bookman Old Style" w:cs="Bookman Old Style"/>
        <w:color w:val="0000ff"/>
      </w:rPr>
    </w:pP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4039920</wp:posOffset>
              </wp:positionH>
              <wp:positionV relativeFrom="paragraph">
                <wp:posOffset>635</wp:posOffset>
              </wp:positionV>
              <wp:extent cx="2106777" cy="679932"/>
              <wp:effectExtent l="0" t="0" r="27305" b="25400"/>
              <wp:wrapNone/>
              <wp:docPr id="1"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pPr>
                            <w:jc w:val="left"/>
                            <w:rPr>
                              <w:rFonts w:ascii="Arial" w:hAnsi="Arial" w:cs="Arial"/>
                            </w:rPr>
                          </w:pPr>
                          <w:r>
                            <w:rPr>
                              <w:rFonts w:ascii="Arial" w:hAnsi="Arial" w:cs="Arial"/>
                            </w:rPr>
                            <w:t xml:space="preserve">PMT</w:t>
                          </w:r>
                          <w:r>
                            <w:rPr>
                              <w:rFonts w:ascii="Arial" w:hAnsi="Arial" w:cs="Arial"/>
                            </w:rPr>
                            <w:t xml:space="preserve">-RJ                                        PROCESSO N º </w:t>
                          </w:r>
                          <w:r>
                            <w:rPr>
                              <w:rFonts w:ascii="Arial" w:hAnsi="Arial" w:cs="Arial"/>
                            </w:rPr>
                            <w:t xml:space="preserve">7.680/2022</w:t>
                          </w:r>
                          <w:r/>
                        </w:p>
                        <w:p>
                          <w:pPr>
                            <w:jc w:val="both"/>
                            <w:rPr>
                              <w:rFonts w:ascii="Arial" w:hAnsi="Arial" w:eastAsia="Arial" w:cs="Arial"/>
                            </w:rPr>
                          </w:pPr>
                          <w:r>
                            <w:rPr>
                              <w:rFonts w:ascii="Arial" w:hAnsi="Arial" w:cs="Arial"/>
                            </w:rPr>
                            <w:t xml:space="preserve">7.683/2022</w:t>
                          </w:r>
                          <w:r/>
                        </w:p>
                        <w:p>
                          <w:pPr>
                            <w:rPr>
                              <w:rFonts w:ascii="Arial" w:hAnsi="Arial" w:cs="Arial"/>
                            </w:rPr>
                          </w:pPr>
                          <w:r>
                            <w:rPr>
                              <w:rFonts w:ascii="Arial" w:hAnsi="Arial" w:cs="Arial"/>
                            </w:rPr>
                            <w:t xml:space="preserve">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0" o:spid="_x0000_s0" o:spt="202" type="#_x0000_t202" style="position:absolute;z-index:251659264;o:allowoverlap:true;o:allowincell:true;mso-position-horizontal-relative:text;margin-left:318.1pt;mso-position-horizontal:absolute;mso-position-vertical-relative:text;margin-top:0.0pt;mso-position-vertical:absolute;width:165.9pt;height:53.5pt;mso-wrap-distance-left:9.0pt;mso-wrap-distance-top:0.0pt;mso-wrap-distance-right:9.0pt;mso-wrap-distance-bottom:0.0pt;v-text-anchor:top;visibility:visible;" fillcolor="#FFFFFF" strokecolor="#000000" strokeweight="0.75pt">
              <v:textbox inset="0,0,0,0">
                <w:txbxContent>
                  <w:p>
                    <w:pPr>
                      <w:jc w:val="left"/>
                      <w:rPr>
                        <w:rFonts w:ascii="Arial" w:hAnsi="Arial" w:cs="Arial"/>
                      </w:rPr>
                    </w:pPr>
                    <w:r>
                      <w:rPr>
                        <w:rFonts w:ascii="Arial" w:hAnsi="Arial" w:cs="Arial"/>
                      </w:rPr>
                      <w:t xml:space="preserve">PMT</w:t>
                    </w:r>
                    <w:r>
                      <w:rPr>
                        <w:rFonts w:ascii="Arial" w:hAnsi="Arial" w:cs="Arial"/>
                      </w:rPr>
                      <w:t xml:space="preserve">-RJ                                        PROCESSO N º </w:t>
                    </w:r>
                    <w:r>
                      <w:rPr>
                        <w:rFonts w:ascii="Arial" w:hAnsi="Arial" w:cs="Arial"/>
                      </w:rPr>
                      <w:t xml:space="preserve">7.680/2022</w:t>
                    </w:r>
                    <w:r/>
                  </w:p>
                  <w:p>
                    <w:pPr>
                      <w:jc w:val="both"/>
                      <w:rPr>
                        <w:rFonts w:ascii="Arial" w:hAnsi="Arial" w:eastAsia="Arial" w:cs="Arial"/>
                      </w:rPr>
                    </w:pPr>
                    <w:r>
                      <w:rPr>
                        <w:rFonts w:ascii="Arial" w:hAnsi="Arial" w:cs="Arial"/>
                      </w:rPr>
                      <w:t xml:space="preserve">7.683/2022</w:t>
                    </w:r>
                    <w:r/>
                  </w:p>
                  <w:p>
                    <w:pPr>
                      <w:rPr>
                        <w:rFonts w:ascii="Arial" w:hAnsi="Arial" w:cs="Arial"/>
                      </w:rPr>
                    </w:pPr>
                    <w:r>
                      <w:rPr>
                        <w:rFonts w:ascii="Arial" w:hAnsi="Arial" w:cs="Arial"/>
                      </w:rPr>
                      <w:t xml:space="preserve">RUBRICA:                  FLS.:</w:t>
                    </w:r>
                    <w:r/>
                  </w:p>
                </w:txbxContent>
              </v:textbox>
            </v:shape>
          </w:pict>
        </mc:Fallback>
      </mc:AlternateContent>
    </w:r>
    <w:r/>
  </w:p>
  <w:p>
    <w:pPr>
      <w:pStyle w:val="848"/>
      <w:ind w:left="1560" w:hanging="468"/>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3"/>
      <w:ind w:left="1560" w:hanging="468"/>
      <w:jc w:val="both"/>
      <w:rPr>
        <w:rFonts w:ascii="Bookman Old Style" w:hAnsi="Bookman Old Style" w:eastAsia="Bookman Old Style" w:cs="Bookman Old Style"/>
        <w:color w:val="0000ff"/>
      </w:rPr>
    </w:pPr>
    <w:r>
      <w:rPr>
        <w:lang w:eastAsia="pt-BR"/>
      </w:rPr>
      <mc:AlternateContent>
        <mc:Choice Requires="wpg">
          <w:drawing>
            <wp:anchor xmlns:wp="http://schemas.openxmlformats.org/drawingml/2006/wordprocessingDrawing" xmlns:wp14="http://schemas.microsoft.com/office/word/2010/wordprocessingDrawing" distT="0" distB="0" distL="0" distR="0" simplePos="0" relativeHeight="251664384" behindDoc="0" locked="0" layoutInCell="1" allowOverlap="1">
              <wp:simplePos x="0" y="0"/>
              <wp:positionH relativeFrom="column">
                <wp:posOffset>-254635</wp:posOffset>
              </wp:positionH>
              <wp:positionV relativeFrom="paragraph">
                <wp:posOffset>3505</wp:posOffset>
              </wp:positionV>
              <wp:extent cx="788035" cy="740410"/>
              <wp:effectExtent l="0" t="0" r="0" b="254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r/>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4384;o:allowoverlap:true;o:allowincell:true;mso-position-horizontal-relative:text;margin-left:-20.1pt;mso-position-horizontal:absolute;mso-position-vertical-relative:text;margin-top:0.3pt;mso-position-vertical:absolute;width:62.0pt;height:58.3pt;mso-wrap-distance-left:0.0pt;mso-wrap-distance-top:0.0pt;mso-wrap-distance-right:0.0pt;mso-wrap-distance-bottom:0.0pt;" stroked="f">
              <v:path textboxrect="0,0,0,0"/>
              <w10:wrap type="square"/>
              <v:imagedata r:id="rId1" o:title=""/>
            </v:shape>
          </w:pict>
        </mc:Fallback>
      </mc:AlternateContent>
    </w: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column">
                <wp:posOffset>4039920</wp:posOffset>
              </wp:positionH>
              <wp:positionV relativeFrom="paragraph">
                <wp:posOffset>635</wp:posOffset>
              </wp:positionV>
              <wp:extent cx="2106777" cy="679932"/>
              <wp:effectExtent l="0" t="0" r="27305" b="25400"/>
              <wp:wrapNone/>
              <wp:docPr id="3" name="Caixa de Texto 9"/>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pPr>
                            <w:jc w:val="left"/>
                            <w:rPr>
                              <w:rFonts w:ascii="Arial" w:hAnsi="Arial" w:cs="Arial"/>
                            </w:rPr>
                          </w:pPr>
                          <w:r>
                            <w:rPr>
                              <w:rFonts w:ascii="Arial" w:hAnsi="Arial" w:cs="Arial"/>
                            </w:rPr>
                            <w:t xml:space="preserve">PMT</w:t>
                          </w:r>
                          <w:r>
                            <w:rPr>
                              <w:rFonts w:ascii="Arial" w:hAnsi="Arial" w:cs="Arial"/>
                            </w:rPr>
                            <w:t xml:space="preserve">-RJ                                        PROCESSO N º </w:t>
                          </w:r>
                          <w:r>
                            <w:rPr>
                              <w:rFonts w:ascii="Arial" w:hAnsi="Arial" w:cs="Arial"/>
                            </w:rPr>
                            <w:t xml:space="preserve">7.680/2022</w:t>
                          </w:r>
                          <w:r/>
                        </w:p>
                        <w:p>
                          <w:pPr>
                            <w:jc w:val="both"/>
                            <w:rPr>
                              <w:rFonts w:ascii="Arial" w:hAnsi="Arial" w:eastAsia="Arial" w:cs="Arial"/>
                            </w:rPr>
                          </w:pPr>
                          <w:r>
                            <w:rPr>
                              <w:rFonts w:ascii="Arial" w:hAnsi="Arial" w:cs="Arial"/>
                            </w:rPr>
                            <w:t xml:space="preserve">7.683/2022</w:t>
                          </w:r>
                          <w:r/>
                        </w:p>
                        <w:p>
                          <w:pPr>
                            <w:rPr>
                              <w:rFonts w:ascii="Arial" w:hAnsi="Arial" w:cs="Arial"/>
                            </w:rPr>
                          </w:pPr>
                          <w:r>
                            <w:rPr>
                              <w:rFonts w:ascii="Arial" w:hAnsi="Arial" w:cs="Arial"/>
                            </w:rPr>
                            <w:t xml:space="preserve">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202" type="#_x0000_t202" style="position:absolute;z-index:251663360;o:allowoverlap:true;o:allowincell:true;mso-position-horizontal-relative:text;margin-left:318.1pt;mso-position-horizontal:absolute;mso-position-vertical-relative:text;margin-top:0.0pt;mso-position-vertical:absolute;width:165.9pt;height:53.5pt;mso-wrap-distance-left:9.0pt;mso-wrap-distance-top:0.0pt;mso-wrap-distance-right:9.0pt;mso-wrap-distance-bottom:0.0pt;v-text-anchor:top;visibility:visible;" fillcolor="#FFFFFF" strokecolor="#000000" strokeweight="0.75pt">
              <v:textbox inset="0,0,0,0">
                <w:txbxContent>
                  <w:p>
                    <w:pPr>
                      <w:jc w:val="left"/>
                      <w:rPr>
                        <w:rFonts w:ascii="Arial" w:hAnsi="Arial" w:cs="Arial"/>
                      </w:rPr>
                    </w:pPr>
                    <w:r>
                      <w:rPr>
                        <w:rFonts w:ascii="Arial" w:hAnsi="Arial" w:cs="Arial"/>
                      </w:rPr>
                      <w:t xml:space="preserve">PMT</w:t>
                    </w:r>
                    <w:r>
                      <w:rPr>
                        <w:rFonts w:ascii="Arial" w:hAnsi="Arial" w:cs="Arial"/>
                      </w:rPr>
                      <w:t xml:space="preserve">-RJ                                        PROCESSO N º </w:t>
                    </w:r>
                    <w:r>
                      <w:rPr>
                        <w:rFonts w:ascii="Arial" w:hAnsi="Arial" w:cs="Arial"/>
                      </w:rPr>
                      <w:t xml:space="preserve">7.680/2022</w:t>
                    </w:r>
                    <w:r/>
                  </w:p>
                  <w:p>
                    <w:pPr>
                      <w:jc w:val="both"/>
                      <w:rPr>
                        <w:rFonts w:ascii="Arial" w:hAnsi="Arial" w:eastAsia="Arial" w:cs="Arial"/>
                      </w:rPr>
                    </w:pPr>
                    <w:r>
                      <w:rPr>
                        <w:rFonts w:ascii="Arial" w:hAnsi="Arial" w:cs="Arial"/>
                      </w:rPr>
                      <w:t xml:space="preserve">7.683/2022</w:t>
                    </w:r>
                    <w:r/>
                  </w:p>
                  <w:p>
                    <w:pPr>
                      <w:rPr>
                        <w:rFonts w:ascii="Arial" w:hAnsi="Arial" w:cs="Arial"/>
                      </w:rPr>
                    </w:pPr>
                    <w:r>
                      <w:rPr>
                        <w:rFonts w:ascii="Arial" w:hAnsi="Arial" w:cs="Arial"/>
                      </w:rPr>
                      <w:t xml:space="preserve">RUBRICA:                  FLS.:</w:t>
                    </w:r>
                    <w:r/>
                  </w:p>
                </w:txbxContent>
              </v:textbox>
            </v:shape>
          </w:pict>
        </mc:Fallback>
      </mc:AlternateContent>
    </w:r>
    <w:r>
      <w:rPr>
        <w:rFonts w:ascii="Bookman Old Style" w:hAnsi="Bookman Old Style" w:eastAsia="Bookman Old Style" w:cs="Bookman Old Style"/>
        <w:color w:val="0000ff"/>
      </w:rPr>
      <w:t xml:space="preserve">ESTADO DO RIO DE JANEIRO</w:t>
    </w:r>
    <w:r/>
  </w:p>
  <w:p>
    <w:pPr>
      <w:pStyle w:val="853"/>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PREFEITURA MUNICIPAL DE TERESÓPOLIS</w:t>
    </w:r>
    <w:r/>
  </w:p>
  <w:p>
    <w:pPr>
      <w:pStyle w:val="853"/>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i/>
        <w:color w:val="0000ff"/>
      </w:rPr>
      <w:t xml:space="preserve">Secretaria Municipal de Administração</w:t>
    </w:r>
    <w:r/>
  </w:p>
  <w:p>
    <w:pPr>
      <w:pStyle w:val="853"/>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Departamento de Suprimentos e Licitação</w:t>
    </w:r>
    <w:r/>
  </w:p>
  <w:p>
    <w:pPr>
      <w:pStyle w:val="848"/>
      <w:ind w:left="1560" w:hanging="468"/>
      <w:rPr>
        <w:lang w:eastAsia="pt-BR"/>
      </w:rPr>
    </w:pPr>
    <w:r>
      <w:rPr>
        <w:rFonts w:ascii="Bookman Old Style" w:hAnsi="Bookman Old Style" w:eastAsia="Bookman Old Style" w:cs="Bookman Old Style"/>
        <w:color w:val="0000ff"/>
      </w:rPr>
      <w:t xml:space="preserve">www.licitacao.teresopolis.rj.gov.br</w:t>
    </w:r>
    <w:r/>
  </w:p>
  <w:p>
    <w:pPr>
      <w:pStyle w:val="848"/>
      <w:ind w:left="1560" w:hanging="468"/>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360" w:hanging="360"/>
      </w:pPr>
    </w:lvl>
    <w:lvl w:ilvl="1">
      <w:start w:val="1"/>
      <w:numFmt w:val="decimal"/>
      <w:pStyle w:val="841"/>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842"/>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3">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8">
    <w:multiLevelType w:val="hybridMultilevel"/>
    <w:lvl w:ilvl="0">
      <w:start w:val="1"/>
      <w:numFmt w:val="decimal"/>
      <w:isLgl w:val="false"/>
      <w:suff w:val="tab"/>
      <w:lvlText w:val="%1."/>
      <w:lvlJc w:val="left"/>
      <w:pPr>
        <w:ind w:left="2160" w:hanging="360"/>
      </w:pPr>
    </w:lvl>
    <w:lvl w:ilvl="1">
      <w:start w:val="1"/>
      <w:numFmt w:val="lowerLetter"/>
      <w:isLgl w:val="false"/>
      <w:suff w:val="tab"/>
      <w:lvlText w:val="%2."/>
      <w:lvlJc w:val="left"/>
      <w:pPr>
        <w:ind w:left="2880" w:hanging="360"/>
      </w:pPr>
    </w:lvl>
    <w:lvl w:ilvl="2">
      <w:start w:val="1"/>
      <w:numFmt w:val="lowerRoman"/>
      <w:isLgl w:val="false"/>
      <w:suff w:val="tab"/>
      <w:lvlText w:val="%3."/>
      <w:lvlJc w:val="right"/>
      <w:pPr>
        <w:ind w:left="3600" w:hanging="180"/>
      </w:pPr>
    </w:lvl>
    <w:lvl w:ilvl="3">
      <w:start w:val="1"/>
      <w:numFmt w:val="decimal"/>
      <w:isLgl w:val="false"/>
      <w:suff w:val="tab"/>
      <w:lvlText w:val="%4."/>
      <w:lvlJc w:val="left"/>
      <w:pPr>
        <w:ind w:left="4320" w:hanging="360"/>
      </w:pPr>
    </w:lvl>
    <w:lvl w:ilvl="4">
      <w:start w:val="1"/>
      <w:numFmt w:val="lowerLetter"/>
      <w:isLgl w:val="false"/>
      <w:suff w:val="tab"/>
      <w:lvlText w:val="%5."/>
      <w:lvlJc w:val="left"/>
      <w:pPr>
        <w:ind w:left="5040" w:hanging="360"/>
      </w:pPr>
    </w:lvl>
    <w:lvl w:ilvl="5">
      <w:start w:val="1"/>
      <w:numFmt w:val="lowerRoman"/>
      <w:isLgl w:val="false"/>
      <w:suff w:val="tab"/>
      <w:lvlText w:val="%6."/>
      <w:lvlJc w:val="right"/>
      <w:pPr>
        <w:ind w:left="5760" w:hanging="180"/>
      </w:pPr>
    </w:lvl>
    <w:lvl w:ilvl="6">
      <w:start w:val="1"/>
      <w:numFmt w:val="decimal"/>
      <w:isLgl w:val="false"/>
      <w:suff w:val="tab"/>
      <w:lvlText w:val="%7."/>
      <w:lvlJc w:val="left"/>
      <w:pPr>
        <w:ind w:left="6480" w:hanging="360"/>
      </w:pPr>
    </w:lvl>
    <w:lvl w:ilvl="7">
      <w:start w:val="1"/>
      <w:numFmt w:val="lowerLetter"/>
      <w:isLgl w:val="false"/>
      <w:suff w:val="tab"/>
      <w:lvlText w:val="%8."/>
      <w:lvlJc w:val="left"/>
      <w:pPr>
        <w:ind w:left="7200" w:hanging="360"/>
      </w:pPr>
    </w:lvl>
    <w:lvl w:ilvl="8">
      <w:start w:val="1"/>
      <w:numFmt w:val="lowerRoman"/>
      <w:isLgl w:val="false"/>
      <w:suff w:val="tab"/>
      <w:lvlText w:val="%9."/>
      <w:lvlJc w:val="right"/>
      <w:pPr>
        <w:ind w:left="7920" w:hanging="180"/>
      </w:pPr>
    </w:lvl>
  </w:abstractNum>
  <w:abstractNum w:abstractNumId="9">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0">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1">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pStyle w:val="844"/>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2">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134" w:hanging="432"/>
      </w:pPr>
      <w:rPr>
        <w:b/>
        <w:sz w:val="24"/>
        <w:szCs w:val="24"/>
        <w:u w:val="none"/>
      </w:rPr>
    </w:lvl>
    <w:lvl w:ilvl="2">
      <w:start w:val="1"/>
      <w:numFmt w:val="decimal"/>
      <w:isLgl w:val="false"/>
      <w:suff w:val="tab"/>
      <w:lvlText w:val="%1.%2.%3."/>
      <w:lvlJc w:val="left"/>
      <w:pPr>
        <w:ind w:left="1497" w:hanging="504"/>
      </w:pPr>
      <w:rPr>
        <w:b/>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4">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pStyle w:val="843"/>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5">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pStyle w:val="871"/>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6">
    <w:multiLevelType w:val="hybridMultilevel"/>
    <w:lvl w:ilvl="0">
      <w:start w:val="1"/>
      <w:numFmt w:val="decimal"/>
      <w:isLgl w:val="false"/>
      <w:suff w:val="tab"/>
      <w:lvlText w:val="%1."/>
      <w:lvlJc w:val="left"/>
      <w:pPr>
        <w:ind w:left="2421" w:hanging="360"/>
      </w:pPr>
    </w:lvl>
    <w:lvl w:ilvl="1">
      <w:start w:val="1"/>
      <w:numFmt w:val="lowerLetter"/>
      <w:isLgl w:val="false"/>
      <w:suff w:val="tab"/>
      <w:lvlText w:val="%2."/>
      <w:lvlJc w:val="left"/>
      <w:pPr>
        <w:ind w:left="3141" w:hanging="360"/>
      </w:pPr>
    </w:lvl>
    <w:lvl w:ilvl="2">
      <w:start w:val="1"/>
      <w:numFmt w:val="lowerRoman"/>
      <w:isLgl w:val="false"/>
      <w:suff w:val="tab"/>
      <w:lvlText w:val="%3."/>
      <w:lvlJc w:val="right"/>
      <w:pPr>
        <w:ind w:left="3861" w:hanging="180"/>
      </w:pPr>
    </w:lvl>
    <w:lvl w:ilvl="3">
      <w:start w:val="1"/>
      <w:numFmt w:val="decimal"/>
      <w:isLgl w:val="false"/>
      <w:suff w:val="tab"/>
      <w:lvlText w:val="%4."/>
      <w:lvlJc w:val="left"/>
      <w:pPr>
        <w:ind w:left="4581" w:hanging="360"/>
      </w:pPr>
    </w:lvl>
    <w:lvl w:ilvl="4">
      <w:start w:val="1"/>
      <w:numFmt w:val="lowerLetter"/>
      <w:isLgl w:val="false"/>
      <w:suff w:val="tab"/>
      <w:lvlText w:val="%5."/>
      <w:lvlJc w:val="left"/>
      <w:pPr>
        <w:ind w:left="5301" w:hanging="360"/>
      </w:pPr>
    </w:lvl>
    <w:lvl w:ilvl="5">
      <w:start w:val="1"/>
      <w:numFmt w:val="lowerRoman"/>
      <w:isLgl w:val="false"/>
      <w:suff w:val="tab"/>
      <w:lvlText w:val="%6."/>
      <w:lvlJc w:val="right"/>
      <w:pPr>
        <w:ind w:left="6021" w:hanging="180"/>
      </w:pPr>
    </w:lvl>
    <w:lvl w:ilvl="6">
      <w:start w:val="1"/>
      <w:numFmt w:val="decimal"/>
      <w:isLgl w:val="false"/>
      <w:suff w:val="tab"/>
      <w:lvlText w:val="%7."/>
      <w:lvlJc w:val="left"/>
      <w:pPr>
        <w:ind w:left="6741" w:hanging="360"/>
      </w:pPr>
    </w:lvl>
    <w:lvl w:ilvl="7">
      <w:start w:val="1"/>
      <w:numFmt w:val="lowerLetter"/>
      <w:isLgl w:val="false"/>
      <w:suff w:val="tab"/>
      <w:lvlText w:val="%8."/>
      <w:lvlJc w:val="left"/>
      <w:pPr>
        <w:ind w:left="7461" w:hanging="360"/>
      </w:pPr>
    </w:lvl>
    <w:lvl w:ilvl="8">
      <w:start w:val="1"/>
      <w:numFmt w:val="lowerRoman"/>
      <w:isLgl w:val="false"/>
      <w:suff w:val="tab"/>
      <w:lvlText w:val="%9."/>
      <w:lvlJc w:val="right"/>
      <w:pPr>
        <w:ind w:left="8181" w:hanging="180"/>
      </w:pPr>
    </w:lvl>
  </w:abstractNum>
  <w:abstractNum w:abstractNumId="1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869"/>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9">
    <w:multiLevelType w:val="hybridMultilevel"/>
    <w:lvl w:ilvl="0">
      <w:start w:val="1"/>
      <w:numFmt w:val="decimal"/>
      <w:pStyle w:val="864"/>
      <w:isLgl w:val="false"/>
      <w:suff w:val="tab"/>
      <w:lvlText w:val="%1."/>
      <w:lvlJc w:val="left"/>
      <w:pPr>
        <w:ind w:left="1004" w:hanging="360"/>
      </w:pPr>
    </w:lvl>
    <w:lvl w:ilvl="1">
      <w:start w:val="1"/>
      <w:numFmt w:val="lowerLetter"/>
      <w:isLgl w:val="false"/>
      <w:suff w:val="tab"/>
      <w:lvlText w:val="%2."/>
      <w:lvlJc w:val="left"/>
      <w:pPr>
        <w:ind w:left="1724" w:hanging="360"/>
      </w:pPr>
    </w:lvl>
    <w:lvl w:ilvl="2">
      <w:start w:val="1"/>
      <w:numFmt w:val="lowerRoman"/>
      <w:isLgl w:val="false"/>
      <w:suff w:val="tab"/>
      <w:lvlText w:val="%3."/>
      <w:lvlJc w:val="right"/>
      <w:pPr>
        <w:ind w:left="2444" w:hanging="180"/>
      </w:pPr>
    </w:lvl>
    <w:lvl w:ilvl="3">
      <w:start w:val="1"/>
      <w:numFmt w:val="decimal"/>
      <w:isLgl w:val="false"/>
      <w:suff w:val="tab"/>
      <w:lvlText w:val="%4."/>
      <w:lvlJc w:val="left"/>
      <w:pPr>
        <w:ind w:left="3164" w:hanging="360"/>
      </w:pPr>
    </w:lvl>
    <w:lvl w:ilvl="4">
      <w:start w:val="1"/>
      <w:numFmt w:val="lowerLetter"/>
      <w:isLgl w:val="false"/>
      <w:suff w:val="tab"/>
      <w:lvlText w:val="%5."/>
      <w:lvlJc w:val="left"/>
      <w:pPr>
        <w:ind w:left="3884" w:hanging="360"/>
      </w:pPr>
    </w:lvl>
    <w:lvl w:ilvl="5">
      <w:start w:val="1"/>
      <w:numFmt w:val="lowerRoman"/>
      <w:isLgl w:val="false"/>
      <w:suff w:val="tab"/>
      <w:lvlText w:val="%6."/>
      <w:lvlJc w:val="right"/>
      <w:pPr>
        <w:ind w:left="4604" w:hanging="180"/>
      </w:pPr>
    </w:lvl>
    <w:lvl w:ilvl="6">
      <w:start w:val="1"/>
      <w:numFmt w:val="decimal"/>
      <w:isLgl w:val="false"/>
      <w:suff w:val="tab"/>
      <w:lvlText w:val="%7."/>
      <w:lvlJc w:val="left"/>
      <w:pPr>
        <w:ind w:left="5324" w:hanging="360"/>
      </w:pPr>
    </w:lvl>
    <w:lvl w:ilvl="7">
      <w:start w:val="1"/>
      <w:numFmt w:val="lowerLetter"/>
      <w:isLgl w:val="false"/>
      <w:suff w:val="tab"/>
      <w:lvlText w:val="%8."/>
      <w:lvlJc w:val="left"/>
      <w:pPr>
        <w:ind w:left="6044" w:hanging="360"/>
      </w:pPr>
    </w:lvl>
    <w:lvl w:ilvl="8">
      <w:start w:val="1"/>
      <w:numFmt w:val="lowerRoman"/>
      <w:isLgl w:val="false"/>
      <w:suff w:val="tab"/>
      <w:lvlText w:val="%9."/>
      <w:lvlJc w:val="right"/>
      <w:pPr>
        <w:ind w:left="6764" w:hanging="180"/>
      </w:pPr>
    </w:lvl>
  </w:abstractNum>
  <w:abstractNum w:abstractNumId="20">
    <w:multiLevelType w:val="hybridMultilevel"/>
    <w:lvl w:ilvl="0">
      <w:start w:val="1"/>
      <w:numFmt w:val="decimal"/>
      <w:pStyle w:val="858"/>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hint="default" w:ascii="Arial" w:hAnsi="Arial" w:cs="Arial"/>
        <w:color w:val="auto"/>
        <w:sz w:val="20"/>
        <w:szCs w:val="20"/>
        <w:u w:val="none"/>
      </w:rPr>
    </w:lvl>
    <w:lvl w:ilvl="2">
      <w:start w:val="1"/>
      <w:numFmt w:val="decimal"/>
      <w:isLgl w:val="false"/>
      <w:suff w:val="tab"/>
      <w:lvlText w:val="%1.%2.%3."/>
      <w:lvlJc w:val="left"/>
      <w:pPr>
        <w:ind w:left="2206" w:hanging="504"/>
      </w:pPr>
      <w:rPr>
        <w:rFonts w:hint="default" w:ascii="Arial" w:hAnsi="Arial" w:cs="Arial"/>
        <w:b/>
        <w:bCs/>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21">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pStyle w:val="873"/>
      <w:isLgl w:val="false"/>
      <w:suff w:val="tab"/>
      <w:lvlText w:val="%1.%2.%3.%4.%5."/>
      <w:lvlJc w:val="left"/>
      <w:pPr>
        <w:ind w:left="2232" w:hanging="792"/>
      </w:pPr>
    </w:lvl>
    <w:lvl w:ilvl="5">
      <w:start w:val="1"/>
      <w:numFmt w:val="decimal"/>
      <w:pStyle w:val="875"/>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4">
    <w:multiLevelType w:val="hybridMultilevel"/>
    <w:lvl w:ilvl="0">
      <w:start w:val="1"/>
      <w:numFmt w:val="decimal"/>
      <w:isLgl w:val="false"/>
      <w:suff w:val="tab"/>
      <w:lvlText w:val="%1."/>
      <w:lvlJc w:val="left"/>
      <w:pPr>
        <w:ind w:left="1004" w:hanging="360"/>
      </w:pPr>
    </w:lvl>
    <w:lvl w:ilvl="1">
      <w:start w:val="1"/>
      <w:numFmt w:val="lowerLetter"/>
      <w:isLgl w:val="false"/>
      <w:suff w:val="tab"/>
      <w:lvlText w:val="%2."/>
      <w:lvlJc w:val="left"/>
      <w:pPr>
        <w:ind w:left="1724" w:hanging="360"/>
      </w:pPr>
    </w:lvl>
    <w:lvl w:ilvl="2">
      <w:start w:val="1"/>
      <w:numFmt w:val="lowerRoman"/>
      <w:isLgl w:val="false"/>
      <w:suff w:val="tab"/>
      <w:lvlText w:val="%3."/>
      <w:lvlJc w:val="right"/>
      <w:pPr>
        <w:ind w:left="2444" w:hanging="180"/>
      </w:pPr>
    </w:lvl>
    <w:lvl w:ilvl="3">
      <w:start w:val="1"/>
      <w:numFmt w:val="decimal"/>
      <w:isLgl w:val="false"/>
      <w:suff w:val="tab"/>
      <w:lvlText w:val="%4."/>
      <w:lvlJc w:val="left"/>
      <w:pPr>
        <w:ind w:left="3164" w:hanging="360"/>
      </w:pPr>
    </w:lvl>
    <w:lvl w:ilvl="4">
      <w:start w:val="1"/>
      <w:numFmt w:val="lowerLetter"/>
      <w:isLgl w:val="false"/>
      <w:suff w:val="tab"/>
      <w:lvlText w:val="%5."/>
      <w:lvlJc w:val="left"/>
      <w:pPr>
        <w:ind w:left="3884" w:hanging="360"/>
      </w:pPr>
    </w:lvl>
    <w:lvl w:ilvl="5">
      <w:start w:val="1"/>
      <w:numFmt w:val="lowerRoman"/>
      <w:isLgl w:val="false"/>
      <w:suff w:val="tab"/>
      <w:lvlText w:val="%6."/>
      <w:lvlJc w:val="right"/>
      <w:pPr>
        <w:ind w:left="4604" w:hanging="180"/>
      </w:pPr>
    </w:lvl>
    <w:lvl w:ilvl="6">
      <w:start w:val="1"/>
      <w:numFmt w:val="decimal"/>
      <w:isLgl w:val="false"/>
      <w:suff w:val="tab"/>
      <w:lvlText w:val="%7."/>
      <w:lvlJc w:val="left"/>
      <w:pPr>
        <w:ind w:left="5324" w:hanging="360"/>
      </w:pPr>
    </w:lvl>
    <w:lvl w:ilvl="7">
      <w:start w:val="1"/>
      <w:numFmt w:val="lowerLetter"/>
      <w:isLgl w:val="false"/>
      <w:suff w:val="tab"/>
      <w:lvlText w:val="%8."/>
      <w:lvlJc w:val="left"/>
      <w:pPr>
        <w:ind w:left="6044" w:hanging="360"/>
      </w:pPr>
    </w:lvl>
    <w:lvl w:ilvl="8">
      <w:start w:val="1"/>
      <w:numFmt w:val="lowerRoman"/>
      <w:isLgl w:val="false"/>
      <w:suff w:val="tab"/>
      <w:lvlText w:val="%9."/>
      <w:lvlJc w:val="right"/>
      <w:pPr>
        <w:ind w:left="6764" w:hanging="180"/>
      </w:pPr>
    </w:lvl>
  </w:abstractNum>
  <w:abstractNum w:abstractNumId="2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8">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9">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30">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1">
    <w:multiLevelType w:val="hybridMultilevel"/>
    <w:lvl w:ilvl="0">
      <w:start w:val="1"/>
      <w:numFmt w:val="decimal"/>
      <w:pStyle w:val="881"/>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num w:numId="1">
    <w:abstractNumId w:val="31"/>
  </w:num>
  <w:num w:numId="2">
    <w:abstractNumId w:val="20"/>
  </w:num>
  <w:num w:numId="3">
    <w:abstractNumId w:val="26"/>
  </w:num>
  <w:num w:numId="4">
    <w:abstractNumId w:val="6"/>
  </w:num>
  <w:num w:numId="5">
    <w:abstractNumId w:val="9"/>
  </w:num>
  <w:num w:numId="6">
    <w:abstractNumId w:val="0"/>
  </w:num>
  <w:num w:numId="7">
    <w:abstractNumId w:val="25"/>
  </w:num>
  <w:num w:numId="8">
    <w:abstractNumId w:val="2"/>
  </w:num>
  <w:num w:numId="9">
    <w:abstractNumId w:val="18"/>
  </w:num>
  <w:num w:numId="10">
    <w:abstractNumId w:val="14"/>
  </w:num>
  <w:num w:numId="11">
    <w:abstractNumId w:val="4"/>
  </w:num>
  <w:num w:numId="12">
    <w:abstractNumId w:val="22"/>
  </w:num>
  <w:num w:numId="13">
    <w:abstractNumId w:val="3"/>
  </w:num>
  <w:num w:numId="14">
    <w:abstractNumId w:val="19"/>
  </w:num>
  <w:num w:numId="15">
    <w:abstractNumId w:val="24"/>
  </w:num>
  <w:num w:numId="16">
    <w:abstractNumId w:val="27"/>
  </w:num>
  <w:num w:numId="17">
    <w:abstractNumId w:val="17"/>
  </w:num>
  <w:num w:numId="18">
    <w:abstractNumId w:val="15"/>
  </w:num>
  <w:num w:numId="19">
    <w:abstractNumId w:val="11"/>
  </w:num>
  <w:num w:numId="20">
    <w:abstractNumId w:val="16"/>
  </w:num>
  <w:num w:numId="21">
    <w:abstractNumId w:val="29"/>
  </w:num>
  <w:num w:numId="22">
    <w:abstractNumId w:val="28"/>
  </w:num>
  <w:num w:numId="23">
    <w:abstractNumId w:val="8"/>
  </w:num>
  <w:num w:numId="24">
    <w:abstractNumId w:val="21"/>
  </w:num>
  <w:num w:numId="25">
    <w:abstractNumId w:val="13"/>
  </w:num>
  <w:num w:numId="26">
    <w:abstractNumId w:val="32"/>
  </w:num>
  <w:num w:numId="27">
    <w:abstractNumId w:val="12"/>
  </w:num>
  <w:num w:numId="28">
    <w:abstractNumId w:val="30"/>
  </w:num>
  <w:num w:numId="29">
    <w:abstractNumId w:val="5"/>
  </w:num>
  <w:num w:numId="30">
    <w:abstractNumId w:val="10"/>
  </w:num>
  <w:num w:numId="31">
    <w:abstractNumId w:val="1"/>
  </w:num>
  <w:num w:numId="32">
    <w:abstractNumId w:val="7"/>
  </w:num>
  <w:num w:numId="33">
    <w:abstractNumId w:val="23"/>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pt-BR"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5">
    <w:name w:val="Heading 2 Char"/>
    <w:basedOn w:val="845"/>
    <w:link w:val="842"/>
    <w:uiPriority w:val="9"/>
    <w:rPr>
      <w:rFonts w:ascii="Arial" w:hAnsi="Arial" w:eastAsia="Arial" w:cs="Arial"/>
      <w:sz w:val="34"/>
    </w:rPr>
  </w:style>
  <w:style w:type="character" w:styleId="17">
    <w:name w:val="Heading 3 Char"/>
    <w:basedOn w:val="845"/>
    <w:link w:val="843"/>
    <w:uiPriority w:val="9"/>
    <w:rPr>
      <w:rFonts w:ascii="Arial" w:hAnsi="Arial" w:eastAsia="Arial" w:cs="Arial"/>
      <w:sz w:val="30"/>
      <w:szCs w:val="30"/>
    </w:rPr>
  </w:style>
  <w:style w:type="character" w:styleId="19">
    <w:name w:val="Heading 4 Char"/>
    <w:basedOn w:val="845"/>
    <w:link w:val="844"/>
    <w:uiPriority w:val="9"/>
    <w:rPr>
      <w:rFonts w:ascii="Arial" w:hAnsi="Arial" w:eastAsia="Arial" w:cs="Arial"/>
      <w:b/>
      <w:bCs/>
      <w:sz w:val="26"/>
      <w:szCs w:val="26"/>
    </w:rPr>
  </w:style>
  <w:style w:type="paragraph" w:styleId="20">
    <w:name w:val="Heading 5"/>
    <w:basedOn w:val="840"/>
    <w:next w:val="84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845"/>
    <w:link w:val="20"/>
    <w:uiPriority w:val="9"/>
    <w:rPr>
      <w:rFonts w:ascii="Arial" w:hAnsi="Arial" w:eastAsia="Arial" w:cs="Arial"/>
      <w:b/>
      <w:bCs/>
      <w:sz w:val="24"/>
      <w:szCs w:val="24"/>
    </w:rPr>
  </w:style>
  <w:style w:type="paragraph" w:styleId="22">
    <w:name w:val="Heading 6"/>
    <w:basedOn w:val="840"/>
    <w:next w:val="84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845"/>
    <w:link w:val="22"/>
    <w:uiPriority w:val="9"/>
    <w:rPr>
      <w:rFonts w:ascii="Arial" w:hAnsi="Arial" w:eastAsia="Arial" w:cs="Arial"/>
      <w:b/>
      <w:bCs/>
      <w:sz w:val="22"/>
      <w:szCs w:val="22"/>
    </w:rPr>
  </w:style>
  <w:style w:type="paragraph" w:styleId="24">
    <w:name w:val="Heading 7"/>
    <w:basedOn w:val="840"/>
    <w:next w:val="84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845"/>
    <w:link w:val="24"/>
    <w:uiPriority w:val="9"/>
    <w:rPr>
      <w:rFonts w:ascii="Arial" w:hAnsi="Arial" w:eastAsia="Arial" w:cs="Arial"/>
      <w:b/>
      <w:bCs/>
      <w:i/>
      <w:iCs/>
      <w:sz w:val="22"/>
      <w:szCs w:val="22"/>
    </w:rPr>
  </w:style>
  <w:style w:type="paragraph" w:styleId="26">
    <w:name w:val="Heading 8"/>
    <w:basedOn w:val="840"/>
    <w:next w:val="84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845"/>
    <w:link w:val="26"/>
    <w:uiPriority w:val="9"/>
    <w:rPr>
      <w:rFonts w:ascii="Arial" w:hAnsi="Arial" w:eastAsia="Arial" w:cs="Arial"/>
      <w:i/>
      <w:iCs/>
      <w:sz w:val="22"/>
      <w:szCs w:val="22"/>
    </w:rPr>
  </w:style>
  <w:style w:type="paragraph" w:styleId="28">
    <w:name w:val="Heading 9"/>
    <w:basedOn w:val="840"/>
    <w:next w:val="84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845"/>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character" w:styleId="34">
    <w:name w:val="Title Char"/>
    <w:basedOn w:val="845"/>
    <w:link w:val="866"/>
    <w:uiPriority w:val="10"/>
    <w:rPr>
      <w:sz w:val="48"/>
      <w:szCs w:val="48"/>
    </w:rPr>
  </w:style>
  <w:style w:type="paragraph" w:styleId="35">
    <w:name w:val="Subtitle"/>
    <w:basedOn w:val="840"/>
    <w:next w:val="840"/>
    <w:link w:val="36"/>
    <w:uiPriority w:val="11"/>
    <w:qFormat/>
    <w:pPr>
      <w:spacing w:before="200" w:after="200"/>
    </w:pPr>
    <w:rPr>
      <w:sz w:val="24"/>
      <w:szCs w:val="24"/>
    </w:rPr>
  </w:style>
  <w:style w:type="character" w:styleId="36">
    <w:name w:val="Subtitle Char"/>
    <w:basedOn w:val="845"/>
    <w:link w:val="35"/>
    <w:uiPriority w:val="11"/>
    <w:rPr>
      <w:sz w:val="24"/>
      <w:szCs w:val="24"/>
    </w:rPr>
  </w:style>
  <w:style w:type="paragraph" w:styleId="37">
    <w:name w:val="Quote"/>
    <w:basedOn w:val="840"/>
    <w:next w:val="840"/>
    <w:link w:val="38"/>
    <w:uiPriority w:val="29"/>
    <w:qFormat/>
    <w:pPr>
      <w:ind w:left="720" w:right="720"/>
    </w:pPr>
    <w:rPr>
      <w:i/>
    </w:rPr>
  </w:style>
  <w:style w:type="character" w:styleId="38">
    <w:name w:val="Quote Char"/>
    <w:link w:val="37"/>
    <w:uiPriority w:val="29"/>
    <w:rPr>
      <w:i/>
    </w:rPr>
  </w:style>
  <w:style w:type="paragraph" w:styleId="39">
    <w:name w:val="Intense Quote"/>
    <w:basedOn w:val="840"/>
    <w:next w:val="84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character" w:styleId="42">
    <w:name w:val="Header Char"/>
    <w:basedOn w:val="845"/>
    <w:link w:val="848"/>
    <w:uiPriority w:val="99"/>
  </w:style>
  <w:style w:type="character" w:styleId="44">
    <w:name w:val="Footer Char"/>
    <w:basedOn w:val="845"/>
    <w:link w:val="850"/>
    <w:uiPriority w:val="99"/>
  </w:style>
  <w:style w:type="paragraph" w:styleId="45">
    <w:name w:val="Caption"/>
    <w:basedOn w:val="840"/>
    <w:next w:val="840"/>
    <w:uiPriority w:val="35"/>
    <w:semiHidden/>
    <w:unhideWhenUsed/>
    <w:qFormat/>
    <w:pPr>
      <w:spacing w:line="276" w:lineRule="auto"/>
    </w:pPr>
    <w:rPr>
      <w:b/>
      <w:bCs/>
      <w:color w:val="4f81bd" w:themeColor="accent1"/>
      <w:sz w:val="18"/>
      <w:szCs w:val="18"/>
    </w:rPr>
  </w:style>
  <w:style w:type="character" w:styleId="46">
    <w:name w:val="Caption Char"/>
    <w:basedOn w:val="45"/>
    <w:link w:val="850"/>
    <w:uiPriority w:val="99"/>
  </w:style>
  <w:style w:type="table" w:styleId="47">
    <w:name w:val="Table Grid"/>
    <w:basedOn w:val="846"/>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84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84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846"/>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84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84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84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846"/>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84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84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84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84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84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84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84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84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84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84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84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84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84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84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84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84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84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84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84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84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846"/>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846"/>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846"/>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846"/>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846"/>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846"/>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84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8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8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8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8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8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8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8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846"/>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846"/>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84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846"/>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84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846"/>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84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846"/>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846"/>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846"/>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846"/>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846"/>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846"/>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84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846"/>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846"/>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846"/>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846"/>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846"/>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846"/>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846"/>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846"/>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846"/>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846"/>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846"/>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846"/>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846"/>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84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84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846"/>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84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846"/>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84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846"/>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84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84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846"/>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846"/>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846"/>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846"/>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846"/>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84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846"/>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846"/>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846"/>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846"/>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846"/>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846"/>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84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846"/>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846"/>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846"/>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846"/>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846"/>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846"/>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84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846"/>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846"/>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846"/>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846"/>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846"/>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846"/>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84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8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8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8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8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8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8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8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846"/>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846"/>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846"/>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846"/>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846"/>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846"/>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84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846"/>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84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84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84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84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84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84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84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845"/>
    <w:uiPriority w:val="99"/>
    <w:unhideWhenUsed/>
    <w:rPr>
      <w:vertAlign w:val="superscript"/>
    </w:rPr>
  </w:style>
  <w:style w:type="paragraph" w:styleId="177">
    <w:name w:val="endnote text"/>
    <w:basedOn w:val="84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845"/>
    <w:uiPriority w:val="99"/>
    <w:semiHidden/>
    <w:unhideWhenUsed/>
    <w:rPr>
      <w:vertAlign w:val="superscript"/>
    </w:rPr>
  </w:style>
  <w:style w:type="paragraph" w:styleId="180">
    <w:name w:val="toc 1"/>
    <w:basedOn w:val="840"/>
    <w:next w:val="840"/>
    <w:uiPriority w:val="39"/>
    <w:unhideWhenUsed/>
    <w:pPr>
      <w:ind w:left="0" w:right="0" w:firstLine="0"/>
      <w:spacing w:after="57"/>
    </w:pPr>
  </w:style>
  <w:style w:type="paragraph" w:styleId="181">
    <w:name w:val="toc 2"/>
    <w:basedOn w:val="840"/>
    <w:next w:val="840"/>
    <w:uiPriority w:val="39"/>
    <w:unhideWhenUsed/>
    <w:pPr>
      <w:ind w:left="283" w:right="0" w:firstLine="0"/>
      <w:spacing w:after="57"/>
    </w:pPr>
  </w:style>
  <w:style w:type="paragraph" w:styleId="182">
    <w:name w:val="toc 3"/>
    <w:basedOn w:val="840"/>
    <w:next w:val="840"/>
    <w:uiPriority w:val="39"/>
    <w:unhideWhenUsed/>
    <w:pPr>
      <w:ind w:left="567" w:right="0" w:firstLine="0"/>
      <w:spacing w:after="57"/>
    </w:pPr>
  </w:style>
  <w:style w:type="paragraph" w:styleId="183">
    <w:name w:val="toc 4"/>
    <w:basedOn w:val="840"/>
    <w:next w:val="840"/>
    <w:uiPriority w:val="39"/>
    <w:unhideWhenUsed/>
    <w:pPr>
      <w:ind w:left="850" w:right="0" w:firstLine="0"/>
      <w:spacing w:after="57"/>
    </w:pPr>
  </w:style>
  <w:style w:type="paragraph" w:styleId="184">
    <w:name w:val="toc 5"/>
    <w:basedOn w:val="840"/>
    <w:next w:val="840"/>
    <w:uiPriority w:val="39"/>
    <w:unhideWhenUsed/>
    <w:pPr>
      <w:ind w:left="1134" w:right="0" w:firstLine="0"/>
      <w:spacing w:after="57"/>
    </w:pPr>
  </w:style>
  <w:style w:type="paragraph" w:styleId="185">
    <w:name w:val="toc 6"/>
    <w:basedOn w:val="840"/>
    <w:next w:val="840"/>
    <w:uiPriority w:val="39"/>
    <w:unhideWhenUsed/>
    <w:pPr>
      <w:ind w:left="1417" w:right="0" w:firstLine="0"/>
      <w:spacing w:after="57"/>
    </w:pPr>
  </w:style>
  <w:style w:type="paragraph" w:styleId="186">
    <w:name w:val="toc 7"/>
    <w:basedOn w:val="840"/>
    <w:next w:val="840"/>
    <w:uiPriority w:val="39"/>
    <w:unhideWhenUsed/>
    <w:pPr>
      <w:ind w:left="1701" w:right="0" w:firstLine="0"/>
      <w:spacing w:after="57"/>
    </w:pPr>
  </w:style>
  <w:style w:type="paragraph" w:styleId="187">
    <w:name w:val="toc 8"/>
    <w:basedOn w:val="840"/>
    <w:next w:val="840"/>
    <w:uiPriority w:val="39"/>
    <w:unhideWhenUsed/>
    <w:pPr>
      <w:ind w:left="1984" w:right="0" w:firstLine="0"/>
      <w:spacing w:after="57"/>
    </w:pPr>
  </w:style>
  <w:style w:type="paragraph" w:styleId="188">
    <w:name w:val="toc 9"/>
    <w:basedOn w:val="840"/>
    <w:next w:val="840"/>
    <w:uiPriority w:val="39"/>
    <w:unhideWhenUsed/>
    <w:pPr>
      <w:ind w:left="2268" w:right="0" w:firstLine="0"/>
      <w:spacing w:after="57"/>
    </w:pPr>
  </w:style>
  <w:style w:type="paragraph" w:styleId="189">
    <w:name w:val="TOC Heading"/>
    <w:uiPriority w:val="39"/>
    <w:unhideWhenUsed/>
  </w:style>
  <w:style w:type="paragraph" w:styleId="190">
    <w:name w:val="table of figures"/>
    <w:basedOn w:val="840"/>
    <w:next w:val="840"/>
    <w:uiPriority w:val="99"/>
    <w:unhideWhenUsed/>
    <w:pPr>
      <w:spacing w:after="0" w:afterAutospacing="0"/>
    </w:pPr>
  </w:style>
  <w:style w:type="paragraph" w:styleId="840" w:default="1">
    <w:name w:val="Normal"/>
    <w:pPr>
      <w:spacing w:after="0" w:line="240" w:lineRule="auto"/>
    </w:pPr>
    <w:rPr>
      <w:rFonts w:ascii="Roman 12cpi" w:hAnsi="Roman 12cpi" w:eastAsia="Roman 12cpi" w:cs="Roman 12cpi"/>
      <w:sz w:val="20"/>
      <w:szCs w:val="20"/>
    </w:rPr>
  </w:style>
  <w:style w:type="paragraph" w:styleId="841">
    <w:name w:val="Heading 1"/>
    <w:basedOn w:val="840"/>
    <w:next w:val="840"/>
    <w:link w:val="860"/>
    <w:uiPriority w:val="9"/>
    <w:pPr>
      <w:numPr>
        <w:ilvl w:val="1"/>
        <w:numId w:val="6"/>
      </w:numPr>
      <w:ind w:left="851" w:hanging="567"/>
      <w:jc w:val="both"/>
      <w:keepLines/>
      <w:keepNext/>
      <w:spacing w:before="120" w:after="120" w:line="276" w:lineRule="auto"/>
      <w:outlineLvl w:val="0"/>
    </w:pPr>
    <w:rPr>
      <w:rFonts w:ascii="Arial" w:hAnsi="Arial" w:eastAsiaTheme="majorEastAsia" w:cstheme="majorBidi"/>
      <w:color w:val="000000" w:themeColor="text1"/>
      <w:sz w:val="24"/>
      <w:szCs w:val="32"/>
    </w:rPr>
  </w:style>
  <w:style w:type="paragraph" w:styleId="842">
    <w:name w:val="Heading 2"/>
    <w:basedOn w:val="840"/>
    <w:next w:val="840"/>
    <w:link w:val="861"/>
    <w:uiPriority w:val="9"/>
    <w:unhideWhenUsed/>
    <w:pPr>
      <w:numPr>
        <w:ilvl w:val="2"/>
        <w:numId w:val="8"/>
      </w:numPr>
      <w:ind w:left="1702" w:hanging="851"/>
      <w:jc w:val="both"/>
      <w:keepLines/>
      <w:keepNext/>
      <w:spacing w:before="40" w:line="276" w:lineRule="auto"/>
      <w:outlineLvl w:val="1"/>
    </w:pPr>
    <w:rPr>
      <w:rFonts w:ascii="Arial" w:hAnsi="Arial" w:eastAsiaTheme="majorEastAsia" w:cstheme="majorBidi"/>
      <w:color w:val="000000" w:themeColor="text1"/>
      <w:sz w:val="24"/>
      <w:szCs w:val="26"/>
    </w:rPr>
  </w:style>
  <w:style w:type="paragraph" w:styleId="843">
    <w:name w:val="Heading 3"/>
    <w:basedOn w:val="840"/>
    <w:next w:val="840"/>
    <w:link w:val="862"/>
    <w:uiPriority w:val="9"/>
    <w:unhideWhenUsed/>
    <w:pPr>
      <w:numPr>
        <w:ilvl w:val="3"/>
        <w:numId w:val="10"/>
      </w:numPr>
      <w:ind w:left="2835" w:hanging="1134"/>
      <w:jc w:val="both"/>
      <w:keepLines/>
      <w:keepNext/>
      <w:spacing w:before="40" w:line="276" w:lineRule="auto"/>
      <w:outlineLvl w:val="2"/>
    </w:pPr>
    <w:rPr>
      <w:rFonts w:ascii="Arial" w:hAnsi="Arial" w:eastAsiaTheme="majorEastAsia" w:cstheme="majorBidi"/>
      <w:color w:val="000000" w:themeColor="text1"/>
      <w:sz w:val="24"/>
      <w:szCs w:val="24"/>
    </w:rPr>
  </w:style>
  <w:style w:type="paragraph" w:styleId="844">
    <w:name w:val="Heading 4"/>
    <w:basedOn w:val="840"/>
    <w:next w:val="840"/>
    <w:link w:val="863"/>
    <w:uiPriority w:val="9"/>
    <w:unhideWhenUsed/>
    <w:pPr>
      <w:numPr>
        <w:ilvl w:val="4"/>
        <w:numId w:val="19"/>
      </w:numPr>
      <w:jc w:val="both"/>
      <w:keepLines/>
      <w:keepNext/>
      <w:spacing w:before="40" w:line="276" w:lineRule="auto"/>
      <w:outlineLvl w:val="3"/>
    </w:pPr>
    <w:rPr>
      <w:rFonts w:ascii="Arial" w:hAnsi="Arial" w:eastAsiaTheme="majorEastAsia" w:cstheme="majorBidi"/>
      <w:iCs/>
      <w:color w:val="000000" w:themeColor="text1"/>
      <w:sz w:val="24"/>
    </w:rPr>
  </w:style>
  <w:style w:type="character" w:styleId="845" w:default="1">
    <w:name w:val="Default Paragraph Font"/>
    <w:uiPriority w:val="1"/>
    <w:semiHidden/>
    <w:unhideWhenUsed/>
  </w:style>
  <w:style w:type="table" w:styleId="846" w:default="1">
    <w:name w:val="Normal Table"/>
    <w:uiPriority w:val="99"/>
    <w:semiHidden/>
    <w:unhideWhenUsed/>
    <w:tblPr>
      <w:tblInd w:w="0" w:type="dxa"/>
      <w:tblCellMar>
        <w:left w:w="108" w:type="dxa"/>
        <w:top w:w="0" w:type="dxa"/>
        <w:right w:w="108" w:type="dxa"/>
        <w:bottom w:w="0" w:type="dxa"/>
      </w:tblCellMar>
    </w:tblPr>
  </w:style>
  <w:style w:type="numbering" w:styleId="847" w:default="1">
    <w:name w:val="No List"/>
    <w:uiPriority w:val="99"/>
    <w:semiHidden/>
    <w:unhideWhenUsed/>
  </w:style>
  <w:style w:type="paragraph" w:styleId="848">
    <w:name w:val="Header"/>
    <w:basedOn w:val="840"/>
    <w:link w:val="849"/>
    <w:uiPriority w:val="99"/>
    <w:unhideWhenUsed/>
    <w:pPr>
      <w:tabs>
        <w:tab w:val="center" w:pos="4252" w:leader="none"/>
        <w:tab w:val="right" w:pos="8504" w:leader="none"/>
      </w:tabs>
    </w:pPr>
  </w:style>
  <w:style w:type="character" w:styleId="849" w:customStyle="1">
    <w:name w:val="Cabeçalho Char"/>
    <w:basedOn w:val="845"/>
    <w:link w:val="848"/>
    <w:uiPriority w:val="99"/>
    <w:rPr>
      <w:rFonts w:ascii="Roman 12cpi" w:hAnsi="Roman 12cpi" w:eastAsia="Roman 12cpi" w:cs="Roman 12cpi"/>
      <w:sz w:val="20"/>
      <w:szCs w:val="20"/>
    </w:rPr>
  </w:style>
  <w:style w:type="paragraph" w:styleId="850">
    <w:name w:val="Footer"/>
    <w:basedOn w:val="840"/>
    <w:link w:val="851"/>
    <w:unhideWhenUsed/>
    <w:pPr>
      <w:tabs>
        <w:tab w:val="center" w:pos="4252" w:leader="none"/>
        <w:tab w:val="right" w:pos="8504" w:leader="none"/>
      </w:tabs>
    </w:pPr>
  </w:style>
  <w:style w:type="character" w:styleId="851" w:customStyle="1">
    <w:name w:val="Rodapé Char"/>
    <w:basedOn w:val="845"/>
    <w:link w:val="850"/>
    <w:rPr>
      <w:rFonts w:ascii="Roman 12cpi" w:hAnsi="Roman 12cpi" w:eastAsia="Roman 12cpi" w:cs="Roman 12cpi"/>
      <w:sz w:val="20"/>
      <w:szCs w:val="20"/>
    </w:rPr>
  </w:style>
  <w:style w:type="character" w:styleId="852" w:customStyle="1">
    <w:name w:val="Heading 1 Char"/>
    <w:basedOn w:val="845"/>
    <w:uiPriority w:val="9"/>
    <w:rPr>
      <w:rFonts w:ascii="Arial" w:hAnsi="Arial" w:eastAsia="Arial" w:cs="Arial"/>
      <w:sz w:val="40"/>
      <w:szCs w:val="40"/>
    </w:rPr>
  </w:style>
  <w:style w:type="paragraph" w:styleId="853" w:customStyle="1">
    <w:name w:val="Normal1"/>
    <w:qFormat/>
    <w:pPr>
      <w:spacing w:after="0" w:line="240" w:lineRule="auto"/>
    </w:pPr>
    <w:rPr>
      <w:rFonts w:ascii="Roman 12cpi" w:hAnsi="Roman 12cpi" w:eastAsia="Roman 12cpi" w:cs="Roman 12cpi"/>
      <w:sz w:val="20"/>
      <w:szCs w:val="20"/>
    </w:rPr>
  </w:style>
  <w:style w:type="character" w:styleId="854">
    <w:name w:val="Hyperlink"/>
    <w:basedOn w:val="845"/>
    <w:uiPriority w:val="99"/>
    <w:unhideWhenUsed/>
    <w:rPr>
      <w:color w:val="0563c1" w:themeColor="hyperlink"/>
      <w:u w:val="single"/>
    </w:rPr>
  </w:style>
  <w:style w:type="character" w:styleId="855">
    <w:name w:val="Unresolved Mention"/>
    <w:basedOn w:val="845"/>
    <w:uiPriority w:val="99"/>
    <w:semiHidden/>
    <w:unhideWhenUsed/>
    <w:rPr>
      <w:color w:val="605e5c"/>
      <w:shd w:val="clear" w:color="auto" w:fill="e1dfdd"/>
    </w:rPr>
  </w:style>
  <w:style w:type="paragraph" w:styleId="856">
    <w:name w:val="List Paragraph"/>
    <w:basedOn w:val="840"/>
    <w:link w:val="857"/>
    <w:qFormat/>
    <w:pPr>
      <w:contextualSpacing/>
      <w:ind w:left="720"/>
      <w:spacing w:after="160" w:line="259" w:lineRule="auto"/>
    </w:pPr>
    <w:rPr>
      <w:rFonts w:ascii="Calibri" w:hAnsi="Calibri" w:eastAsia="Calibri" w:cs="Times New Roman"/>
      <w:sz w:val="22"/>
      <w:szCs w:val="22"/>
    </w:rPr>
  </w:style>
  <w:style w:type="character" w:styleId="857" w:customStyle="1">
    <w:name w:val="Parágrafo da Lista Char"/>
    <w:link w:val="856"/>
    <w:uiPriority w:val="1"/>
    <w:rPr>
      <w:rFonts w:ascii="Calibri" w:hAnsi="Calibri" w:eastAsia="Calibri" w:cs="Times New Roman"/>
    </w:rPr>
  </w:style>
  <w:style w:type="paragraph" w:styleId="858" w:customStyle="1">
    <w:name w:val="NIVEL-1"/>
    <w:basedOn w:val="841"/>
    <w:next w:val="840"/>
    <w:link w:val="859"/>
    <w:pPr>
      <w:numPr>
        <w:ilvl w:val="0"/>
        <w:numId w:val="2"/>
      </w:numPr>
      <w:ind w:left="284" w:hanging="284"/>
      <w:tabs>
        <w:tab w:val="left" w:pos="567" w:leader="none"/>
      </w:tabs>
    </w:pPr>
    <w:rPr>
      <w:rFonts w:eastAsia="MS Gothic" w:cs="Times New Roman"/>
      <w:b/>
      <w:bCs/>
      <w:color w:val="000000"/>
      <w:szCs w:val="20"/>
      <w:lang w:eastAsia="pt-BR"/>
    </w:rPr>
  </w:style>
  <w:style w:type="character" w:styleId="859" w:customStyle="1">
    <w:name w:val="NIVEL-1 Char"/>
    <w:link w:val="858"/>
    <w:rPr>
      <w:rFonts w:ascii="Arial" w:hAnsi="Arial" w:eastAsia="MS Gothic" w:cs="Times New Roman"/>
      <w:b/>
      <w:bCs/>
      <w:color w:val="000000"/>
      <w:sz w:val="24"/>
      <w:szCs w:val="20"/>
      <w:lang w:eastAsia="pt-BR"/>
    </w:rPr>
  </w:style>
  <w:style w:type="character" w:styleId="860" w:customStyle="1">
    <w:name w:val="Título 1 Char"/>
    <w:basedOn w:val="845"/>
    <w:link w:val="841"/>
    <w:uiPriority w:val="9"/>
    <w:rPr>
      <w:rFonts w:ascii="Arial" w:hAnsi="Arial" w:eastAsiaTheme="majorEastAsia" w:cstheme="majorBidi"/>
      <w:color w:val="000000" w:themeColor="text1"/>
      <w:sz w:val="24"/>
      <w:szCs w:val="32"/>
    </w:rPr>
  </w:style>
  <w:style w:type="character" w:styleId="861" w:customStyle="1">
    <w:name w:val="Título 2 Char"/>
    <w:basedOn w:val="845"/>
    <w:link w:val="842"/>
    <w:uiPriority w:val="9"/>
    <w:rPr>
      <w:rFonts w:ascii="Arial" w:hAnsi="Arial" w:eastAsiaTheme="majorEastAsia" w:cstheme="majorBidi"/>
      <w:color w:val="000000" w:themeColor="text1"/>
      <w:sz w:val="24"/>
      <w:szCs w:val="26"/>
    </w:rPr>
  </w:style>
  <w:style w:type="character" w:styleId="862" w:customStyle="1">
    <w:name w:val="Título 3 Char"/>
    <w:basedOn w:val="845"/>
    <w:link w:val="843"/>
    <w:uiPriority w:val="9"/>
    <w:rPr>
      <w:rFonts w:ascii="Arial" w:hAnsi="Arial" w:eastAsiaTheme="majorEastAsia" w:cstheme="majorBidi"/>
      <w:color w:val="000000" w:themeColor="text1"/>
      <w:sz w:val="24"/>
      <w:szCs w:val="24"/>
    </w:rPr>
  </w:style>
  <w:style w:type="character" w:styleId="863" w:customStyle="1">
    <w:name w:val="Título 4 Char"/>
    <w:basedOn w:val="845"/>
    <w:link w:val="844"/>
    <w:uiPriority w:val="9"/>
    <w:rPr>
      <w:rFonts w:ascii="Arial" w:hAnsi="Arial" w:eastAsiaTheme="majorEastAsia" w:cstheme="majorBidi"/>
      <w:iCs/>
      <w:color w:val="000000" w:themeColor="text1"/>
      <w:sz w:val="24"/>
      <w:szCs w:val="20"/>
    </w:rPr>
  </w:style>
  <w:style w:type="paragraph" w:styleId="864" w:customStyle="1">
    <w:name w:val="N1"/>
    <w:basedOn w:val="877"/>
    <w:next w:val="840"/>
    <w:link w:val="865"/>
    <w:pPr>
      <w:numPr>
        <w:numId w:val="14"/>
      </w:numPr>
    </w:pPr>
    <w:rPr>
      <w:b/>
      <w:caps/>
    </w:rPr>
  </w:style>
  <w:style w:type="character" w:styleId="865" w:customStyle="1">
    <w:name w:val="N1 Char"/>
    <w:basedOn w:val="845"/>
    <w:link w:val="864"/>
    <w:rPr>
      <w:rFonts w:ascii="Arial" w:hAnsi="Arial" w:eastAsia="Roman 12cpi" w:cs="Roman 12cpi"/>
      <w:b/>
      <w:caps/>
      <w:color w:val="000000" w:themeColor="text1"/>
      <w:sz w:val="24"/>
      <w:szCs w:val="20"/>
    </w:rPr>
  </w:style>
  <w:style w:type="paragraph" w:styleId="866">
    <w:name w:val="Title"/>
    <w:basedOn w:val="840"/>
    <w:next w:val="840"/>
    <w:link w:val="867"/>
    <w:uiPriority w:val="10"/>
    <w:pPr>
      <w:contextualSpacing/>
    </w:pPr>
    <w:rPr>
      <w:rFonts w:asciiTheme="majorHAnsi" w:hAnsiTheme="majorHAnsi" w:eastAsiaTheme="majorEastAsia" w:cstheme="majorBidi"/>
      <w:spacing w:val="-10"/>
      <w:sz w:val="56"/>
      <w:szCs w:val="56"/>
    </w:rPr>
  </w:style>
  <w:style w:type="character" w:styleId="867" w:customStyle="1">
    <w:name w:val="Título Char"/>
    <w:basedOn w:val="845"/>
    <w:link w:val="866"/>
    <w:uiPriority w:val="10"/>
    <w:rPr>
      <w:rFonts w:asciiTheme="majorHAnsi" w:hAnsiTheme="majorHAnsi" w:eastAsiaTheme="majorEastAsia" w:cstheme="majorBidi"/>
      <w:spacing w:val="-10"/>
      <w:sz w:val="56"/>
      <w:szCs w:val="56"/>
    </w:rPr>
  </w:style>
  <w:style w:type="paragraph" w:styleId="868" w:customStyle="1">
    <w:name w:val="N2"/>
    <w:basedOn w:val="877"/>
    <w:next w:val="840"/>
    <w:link w:val="870"/>
  </w:style>
  <w:style w:type="paragraph" w:styleId="869" w:customStyle="1">
    <w:name w:val="N3"/>
    <w:basedOn w:val="868"/>
    <w:link w:val="872"/>
    <w:pPr>
      <w:numPr>
        <w:ilvl w:val="2"/>
        <w:numId w:val="17"/>
      </w:numPr>
      <w:ind w:left="1702" w:hanging="851"/>
    </w:pPr>
  </w:style>
  <w:style w:type="character" w:styleId="870" w:customStyle="1">
    <w:name w:val="N2 Char"/>
    <w:basedOn w:val="860"/>
    <w:link w:val="868"/>
    <w:rPr>
      <w:rFonts w:ascii="Arial" w:hAnsi="Arial" w:eastAsia="Roman 12cpi" w:cs="Roman 12cpi"/>
      <w:color w:val="000000" w:themeColor="text1"/>
      <w:sz w:val="24"/>
      <w:szCs w:val="20"/>
    </w:rPr>
  </w:style>
  <w:style w:type="paragraph" w:styleId="871" w:customStyle="1">
    <w:name w:val="N4"/>
    <w:basedOn w:val="842"/>
    <w:link w:val="874"/>
    <w:pPr>
      <w:numPr>
        <w:ilvl w:val="3"/>
        <w:numId w:val="18"/>
      </w:numPr>
      <w:ind w:left="2835" w:hanging="1134"/>
      <w:spacing w:before="120" w:after="120"/>
    </w:pPr>
  </w:style>
  <w:style w:type="character" w:styleId="872" w:customStyle="1">
    <w:name w:val="N3 Char"/>
    <w:basedOn w:val="870"/>
    <w:link w:val="869"/>
    <w:rPr>
      <w:rFonts w:ascii="Arial" w:hAnsi="Arial" w:eastAsia="Roman 12cpi" w:cs="Roman 12cpi"/>
      <w:color w:val="000000" w:themeColor="text1"/>
      <w:sz w:val="24"/>
      <w:szCs w:val="20"/>
    </w:rPr>
  </w:style>
  <w:style w:type="paragraph" w:styleId="873" w:customStyle="1">
    <w:name w:val="N5"/>
    <w:basedOn w:val="840"/>
    <w:next w:val="840"/>
    <w:link w:val="876"/>
    <w:pPr>
      <w:numPr>
        <w:ilvl w:val="4"/>
        <w:numId w:val="24"/>
      </w:numPr>
      <w:ind w:left="4253" w:hanging="1418"/>
      <w:jc w:val="both"/>
      <w:spacing w:before="120" w:after="120" w:line="276" w:lineRule="auto"/>
    </w:pPr>
    <w:rPr>
      <w:rFonts w:ascii="Arial" w:hAnsi="Arial"/>
      <w:color w:val="000000" w:themeColor="text1"/>
      <w:sz w:val="24"/>
    </w:rPr>
  </w:style>
  <w:style w:type="character" w:styleId="874" w:customStyle="1">
    <w:name w:val="N4 Char"/>
    <w:basedOn w:val="861"/>
    <w:link w:val="871"/>
    <w:rPr>
      <w:rFonts w:ascii="Arial" w:hAnsi="Arial" w:eastAsiaTheme="majorEastAsia" w:cstheme="majorBidi"/>
      <w:color w:val="000000" w:themeColor="text1"/>
      <w:sz w:val="24"/>
      <w:szCs w:val="26"/>
    </w:rPr>
  </w:style>
  <w:style w:type="paragraph" w:styleId="875" w:customStyle="1">
    <w:name w:val="N6"/>
    <w:basedOn w:val="873"/>
    <w:link w:val="878"/>
    <w:pPr>
      <w:numPr>
        <w:ilvl w:val="5"/>
      </w:numPr>
      <w:ind w:left="5954" w:hanging="1701"/>
    </w:pPr>
  </w:style>
  <w:style w:type="character" w:styleId="876" w:customStyle="1">
    <w:name w:val="N5 Char"/>
    <w:basedOn w:val="862"/>
    <w:link w:val="873"/>
    <w:rPr>
      <w:rFonts w:ascii="Arial" w:hAnsi="Arial" w:eastAsia="Roman 12cpi" w:cs="Roman 12cpi"/>
      <w:color w:val="000000" w:themeColor="text1"/>
      <w:sz w:val="24"/>
      <w:szCs w:val="20"/>
    </w:rPr>
  </w:style>
  <w:style w:type="paragraph" w:styleId="877" w:customStyle="1">
    <w:name w:val="Comum"/>
    <w:basedOn w:val="840"/>
    <w:next w:val="840"/>
    <w:link w:val="880"/>
    <w:pPr>
      <w:jc w:val="both"/>
      <w:spacing w:line="276" w:lineRule="auto"/>
    </w:pPr>
    <w:rPr>
      <w:rFonts w:ascii="Arial" w:hAnsi="Arial"/>
      <w:color w:val="000000" w:themeColor="text1"/>
      <w:sz w:val="24"/>
    </w:rPr>
  </w:style>
  <w:style w:type="character" w:styleId="878" w:customStyle="1">
    <w:name w:val="N6 Char"/>
    <w:basedOn w:val="876"/>
    <w:link w:val="875"/>
    <w:rPr>
      <w:rFonts w:ascii="Arial" w:hAnsi="Arial" w:eastAsia="Roman 12cpi" w:cs="Roman 12cpi"/>
      <w:color w:val="000000" w:themeColor="text1"/>
      <w:sz w:val="24"/>
      <w:szCs w:val="20"/>
    </w:rPr>
  </w:style>
  <w:style w:type="paragraph" w:styleId="879" w:customStyle="1">
    <w:name w:val="PADRÃO"/>
    <w:pPr>
      <w:ind w:firstLine="567"/>
      <w:jc w:val="both"/>
      <w:keepNext/>
      <w:spacing w:before="119" w:after="119" w:line="276" w:lineRule="auto"/>
      <w:shd w:val="clear" w:color="auto" w:fill="ffffff"/>
      <w:widowControl w:val="off"/>
    </w:pPr>
    <w:rPr>
      <w:rFonts w:ascii="Ecofont_Spranq_eco_Sans" w:hAnsi="Ecofont_Spranq_eco_Sans" w:eastAsia="WenQuanYi Micro Hei" w:cs="Lohit Hindi"/>
      <w:sz w:val="20"/>
      <w:szCs w:val="24"/>
      <w:lang w:eastAsia="zh-CN" w:bidi="hi-IN"/>
    </w:rPr>
  </w:style>
  <w:style w:type="character" w:styleId="880" w:customStyle="1">
    <w:name w:val="Comum Char"/>
    <w:basedOn w:val="876"/>
    <w:link w:val="877"/>
    <w:rPr>
      <w:rFonts w:ascii="Arial" w:hAnsi="Arial" w:eastAsia="Roman 12cpi" w:cs="Roman 12cpi"/>
      <w:color w:val="000000" w:themeColor="text1"/>
      <w:sz w:val="24"/>
      <w:szCs w:val="20"/>
    </w:rPr>
  </w:style>
  <w:style w:type="paragraph" w:styleId="881" w:customStyle="1">
    <w:name w:val="Nivel 01"/>
    <w:basedOn w:val="841"/>
    <w:next w:val="840"/>
    <w:link w:val="882"/>
    <w:qFormat/>
    <w:pPr>
      <w:numPr>
        <w:ilvl w:val="0"/>
        <w:numId w:val="1"/>
      </w:numPr>
      <w:ind w:right="49"/>
      <w:spacing w:before="240" w:after="0"/>
      <w:tabs>
        <w:tab w:val="left" w:pos="284" w:leader="none"/>
      </w:tabs>
    </w:pPr>
    <w:rPr>
      <w:rFonts w:eastAsia="MS Gothic" w:cs="Arial"/>
      <w:b/>
      <w:bCs/>
      <w:color w:val="000000"/>
      <w:szCs w:val="24"/>
      <w:lang w:eastAsia="pt-BR"/>
    </w:rPr>
  </w:style>
  <w:style w:type="character" w:styleId="882" w:customStyle="1">
    <w:name w:val="Nivel 01 Char"/>
    <w:link w:val="881"/>
    <w:rPr>
      <w:rFonts w:ascii="Arial" w:hAnsi="Arial" w:eastAsia="MS Gothic" w:cs="Arial"/>
      <w:b/>
      <w:bCs/>
      <w:color w:val="000000"/>
      <w:sz w:val="24"/>
      <w:szCs w:val="24"/>
      <w:lang w:eastAsia="pt-BR"/>
    </w:rPr>
  </w:style>
  <w:style w:type="paragraph" w:styleId="883">
    <w:name w:val="Body Text"/>
    <w:basedOn w:val="840"/>
    <w:link w:val="884"/>
    <w:uiPriority w:val="1"/>
    <w:unhideWhenUsed/>
    <w:qFormat/>
    <w:pPr>
      <w:widowControl w:val="off"/>
    </w:pPr>
    <w:rPr>
      <w:rFonts w:ascii="Arial" w:hAnsi="Arial" w:eastAsia="Arial" w:cs="Arial"/>
      <w:lang w:val="pt-PT"/>
    </w:rPr>
  </w:style>
  <w:style w:type="character" w:styleId="884" w:customStyle="1">
    <w:name w:val="Corpo de texto Char"/>
    <w:basedOn w:val="845"/>
    <w:link w:val="883"/>
    <w:uiPriority w:val="1"/>
    <w:rPr>
      <w:rFonts w:ascii="Arial" w:hAnsi="Arial" w:eastAsia="Arial" w:cs="Arial"/>
      <w:sz w:val="20"/>
      <w:szCs w:val="20"/>
      <w:lang w:val="pt-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https://www.gov.br/compras/pt-br/" TargetMode="External"/><Relationship Id="rId15" Type="http://schemas.openxmlformats.org/officeDocument/2006/relationships/hyperlink" Target="https://www.comprasgovernamentais.gov.br/index.php/sicaf" TargetMode="External"/><Relationship Id="rId16" Type="http://schemas.openxmlformats.org/officeDocument/2006/relationships/hyperlink" Target="http://www.portaldatransparencia.gov.br/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certidoes-apf.apps.tcu.gov.br/" TargetMode="External"/><Relationship Id="rId19" Type="http://schemas.openxmlformats.org/officeDocument/2006/relationships/hyperlink" Target="http://www.portaldoempreendedor.gov.br" TargetMode="External"/><Relationship Id="rId20" Type="http://schemas.openxmlformats.org/officeDocument/2006/relationships/hyperlink" Target="https://teresopolis.1doc.com.br/b.php?pg=wp/wp&amp;itd=5" TargetMode="External"/><Relationship Id="rId21" Type="http://schemas.openxmlformats.org/officeDocument/2006/relationships/hyperlink" Target="file:///C:\Users\OEM\Usu&#225;rio\Downloads\licitacao.impugnacao@teresopolis.rj.gov.br" TargetMode="External"/><Relationship Id="rId22" Type="http://schemas.openxmlformats.org/officeDocument/2006/relationships/hyperlink" Target="https://teresopolis.1doc.com.br/b.php?pg=wp/wp&amp;itd=5" TargetMode="External"/><Relationship Id="rId23" Type="http://schemas.openxmlformats.org/officeDocument/2006/relationships/hyperlink" Target="https://teresopolis.1doc.com.br/b.php?pg=wp/wp&amp;itd=5" TargetMode="External"/><Relationship Id="rId24" Type="http://schemas.openxmlformats.org/officeDocument/2006/relationships/hyperlink" Target="https://teresopolis.1doc.com.br/b.php?pg=wp/wp&amp;itd=5"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6F803-3ADD-43C5-8E90-05AA2C877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ONLYOFFICE/7.2.0.204</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dc:creator>
  <cp:keywords/>
  <dc:description/>
  <cp:revision>313</cp:revision>
  <dcterms:created xsi:type="dcterms:W3CDTF">2022-08-07T21:05:00Z</dcterms:created>
  <dcterms:modified xsi:type="dcterms:W3CDTF">2022-09-30T16:38:12Z</dcterms:modified>
</cp:coreProperties>
</file>